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adjustRightInd w:val="0"/>
        <w:snapToGrid w:val="0"/>
        <w:jc w:val="both"/>
        <w:textAlignment w:val="center"/>
        <w:rPr>
          <w:rFonts w:hint="eastAsia" w:ascii="方正小标宋简体" w:hAnsi="华文中宋" w:eastAsia="方正小标宋简体" w:cs="华文中宋"/>
          <w:color w:val="000000"/>
          <w:kern w:val="0"/>
          <w:sz w:val="32"/>
          <w:szCs w:val="32"/>
          <w:lang w:val="en-US" w:eastAsia="zh-CN"/>
        </w:rPr>
      </w:pPr>
      <w:r>
        <w:rPr>
          <w:rFonts w:hint="eastAsia" w:ascii="方正小标宋简体" w:hAnsi="华文中宋" w:eastAsia="方正小标宋简体" w:cs="华文中宋"/>
          <w:color w:val="000000"/>
          <w:kern w:val="0"/>
          <w:sz w:val="32"/>
          <w:szCs w:val="32"/>
          <w:lang w:val="en-US" w:eastAsia="zh-CN"/>
        </w:rPr>
        <w:t>附件</w:t>
      </w:r>
    </w:p>
    <w:tbl>
      <w:tblPr>
        <w:tblStyle w:val="6"/>
        <w:tblW w:w="14154" w:type="dxa"/>
        <w:tblInd w:w="0" w:type="dxa"/>
        <w:tblLayout w:type="fixed"/>
        <w:tblCellMar>
          <w:top w:w="0" w:type="dxa"/>
          <w:left w:w="0" w:type="dxa"/>
          <w:bottom w:w="0" w:type="dxa"/>
          <w:right w:w="0" w:type="dxa"/>
        </w:tblCellMar>
      </w:tblPr>
      <w:tblGrid>
        <w:gridCol w:w="949"/>
        <w:gridCol w:w="435"/>
        <w:gridCol w:w="6570"/>
        <w:gridCol w:w="4170"/>
        <w:gridCol w:w="1856"/>
        <w:gridCol w:w="174"/>
      </w:tblGrid>
      <w:tr>
        <w:tblPrEx>
          <w:tblLayout w:type="fixed"/>
          <w:tblCellMar>
            <w:top w:w="0" w:type="dxa"/>
            <w:left w:w="0" w:type="dxa"/>
            <w:bottom w:w="0" w:type="dxa"/>
            <w:right w:w="0" w:type="dxa"/>
          </w:tblCellMar>
        </w:tblPrEx>
        <w:trPr>
          <w:trHeight w:val="615" w:hRule="atLeast"/>
        </w:trPr>
        <w:tc>
          <w:tcPr>
            <w:tcW w:w="14154" w:type="dxa"/>
            <w:gridSpan w:val="6"/>
            <w:tcBorders>
              <w:top w:val="nil"/>
              <w:left w:val="nil"/>
              <w:bottom w:val="nil"/>
              <w:right w:val="nil"/>
            </w:tcBorders>
            <w:shd w:val="clear" w:color="auto" w:fill="auto"/>
            <w:tcMar>
              <w:top w:w="15" w:type="dxa"/>
              <w:left w:w="15" w:type="dxa"/>
              <w:right w:w="15" w:type="dxa"/>
            </w:tcMar>
            <w:vAlign w:val="center"/>
          </w:tcPr>
          <w:p>
            <w:pPr>
              <w:keepNext/>
              <w:adjustRightInd w:val="0"/>
              <w:snapToGrid w:val="0"/>
              <w:jc w:val="center"/>
              <w:textAlignment w:val="center"/>
              <w:rPr>
                <w:rFonts w:ascii="方正小标宋简体" w:hAnsi="华文中宋" w:eastAsia="方正小标宋简体" w:cs="华文中宋"/>
                <w:color w:val="000000"/>
                <w:sz w:val="44"/>
                <w:szCs w:val="44"/>
              </w:rPr>
            </w:pPr>
            <w:r>
              <w:rPr>
                <w:rFonts w:hint="eastAsia" w:ascii="方正小标宋简体" w:hAnsi="华文中宋" w:eastAsia="方正小标宋简体" w:cs="华文中宋"/>
                <w:color w:val="000000"/>
                <w:kern w:val="0"/>
                <w:sz w:val="44"/>
                <w:szCs w:val="44"/>
              </w:rPr>
              <w:t>全国社会信用体系建设示范创建城市工作台账</w:t>
            </w:r>
          </w:p>
        </w:tc>
      </w:tr>
      <w:tr>
        <w:tblPrEx>
          <w:tblLayout w:type="fixed"/>
          <w:tblCellMar>
            <w:top w:w="0" w:type="dxa"/>
            <w:left w:w="0" w:type="dxa"/>
            <w:bottom w:w="0" w:type="dxa"/>
            <w:right w:w="0" w:type="dxa"/>
          </w:tblCellMar>
        </w:tblPrEx>
        <w:trPr>
          <w:trHeight w:val="479" w:hRule="atLeast"/>
        </w:trPr>
        <w:tc>
          <w:tcPr>
            <w:tcW w:w="14154" w:type="dxa"/>
            <w:gridSpan w:val="6"/>
            <w:tcBorders>
              <w:top w:val="nil"/>
              <w:left w:val="nil"/>
              <w:bottom w:val="nil"/>
              <w:right w:val="nil"/>
            </w:tcBorders>
            <w:shd w:val="clear" w:color="auto" w:fill="auto"/>
            <w:tcMar>
              <w:top w:w="15" w:type="dxa"/>
              <w:left w:w="15" w:type="dxa"/>
              <w:right w:w="15" w:type="dxa"/>
            </w:tcMar>
            <w:vAlign w:val="center"/>
          </w:tcPr>
          <w:p>
            <w:pPr>
              <w:keepNext/>
              <w:adjustRightInd w:val="0"/>
              <w:snapToGrid w:val="0"/>
              <w:jc w:val="left"/>
              <w:textAlignment w:val="center"/>
              <w:rPr>
                <w:rFonts w:ascii="黑体" w:hAnsi="黑体" w:eastAsia="黑体" w:cs="黑体"/>
                <w:color w:val="000000"/>
                <w:sz w:val="28"/>
                <w:szCs w:val="28"/>
              </w:rPr>
            </w:pPr>
            <w:r>
              <w:rPr>
                <w:rFonts w:hint="eastAsia" w:ascii="黑体" w:hAnsi="黑体" w:eastAsia="黑体" w:cs="黑体"/>
                <w:color w:val="000000"/>
                <w:kern w:val="0"/>
                <w:sz w:val="32"/>
                <w:szCs w:val="32"/>
              </w:rPr>
              <w:t>1.</w:t>
            </w:r>
            <w:r>
              <w:rPr>
                <w:rStyle w:val="7"/>
                <w:rFonts w:hint="default" w:ascii="黑体" w:hAnsi="黑体" w:eastAsia="黑体"/>
              </w:rPr>
              <w:t>全国社会信用体系建设示范创建城市硬指标及任务分工表</w:t>
            </w:r>
          </w:p>
        </w:tc>
      </w:tr>
      <w:tr>
        <w:tblPrEx>
          <w:tblLayout w:type="fixed"/>
          <w:tblCellMar>
            <w:top w:w="0" w:type="dxa"/>
            <w:left w:w="0" w:type="dxa"/>
            <w:bottom w:w="0" w:type="dxa"/>
            <w:right w:w="0" w:type="dxa"/>
          </w:tblCellMar>
        </w:tblPrEx>
        <w:trPr>
          <w:gridAfter w:val="1"/>
          <w:wAfter w:w="174" w:type="dxa"/>
          <w:trHeight w:val="49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黑体" w:hAnsi="宋体" w:eastAsia="黑体" w:cs="黑体"/>
                <w:color w:val="000000"/>
                <w:kern w:val="0"/>
                <w:sz w:val="24"/>
              </w:rPr>
            </w:pPr>
            <w:r>
              <w:rPr>
                <w:rFonts w:hint="eastAsia" w:ascii="黑体" w:hAnsi="宋体" w:eastAsia="黑体" w:cs="黑体"/>
                <w:color w:val="000000"/>
                <w:kern w:val="0"/>
                <w:sz w:val="24"/>
              </w:rPr>
              <w:t>指标</w:t>
            </w:r>
          </w:p>
          <w:p>
            <w:pPr>
              <w:keepNext/>
              <w:adjustRightInd w:val="0"/>
              <w:snapToGrid w:val="0"/>
              <w:jc w:val="left"/>
              <w:textAlignment w:val="center"/>
              <w:rPr>
                <w:rFonts w:ascii="黑体" w:hAnsi="宋体" w:eastAsia="黑体" w:cs="黑体"/>
                <w:color w:val="000000"/>
                <w:sz w:val="24"/>
              </w:rPr>
            </w:pPr>
            <w:r>
              <w:rPr>
                <w:rFonts w:hint="eastAsia" w:ascii="黑体" w:hAnsi="宋体" w:eastAsia="黑体" w:cs="黑体"/>
                <w:color w:val="000000"/>
                <w:kern w:val="0"/>
                <w:sz w:val="24"/>
              </w:rPr>
              <w:t>性质</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黑体" w:hAnsi="宋体" w:eastAsia="黑体" w:cs="黑体"/>
                <w:color w:val="000000"/>
                <w:sz w:val="24"/>
              </w:rPr>
            </w:pPr>
            <w:r>
              <w:rPr>
                <w:rFonts w:hint="eastAsia" w:ascii="黑体" w:hAnsi="宋体" w:eastAsia="黑体" w:cs="黑体"/>
                <w:color w:val="000000"/>
                <w:kern w:val="0"/>
                <w:sz w:val="24"/>
              </w:rPr>
              <w:t>示范城市评审硬指标</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黑体" w:hAnsi="宋体" w:eastAsia="黑体" w:cs="黑体"/>
                <w:color w:val="000000"/>
                <w:sz w:val="24"/>
              </w:rPr>
            </w:pPr>
            <w:r>
              <w:rPr>
                <w:rFonts w:hint="eastAsia" w:ascii="黑体" w:hAnsi="宋体" w:eastAsia="黑体" w:cs="黑体"/>
                <w:color w:val="000000"/>
                <w:kern w:val="0"/>
                <w:sz w:val="24"/>
              </w:rPr>
              <w:t>责任分工</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黑体" w:hAnsi="宋体" w:eastAsia="黑体" w:cs="黑体"/>
                <w:color w:val="000000"/>
                <w:sz w:val="24"/>
              </w:rPr>
            </w:pPr>
            <w:r>
              <w:rPr>
                <w:rFonts w:hint="eastAsia" w:ascii="黑体" w:hAnsi="宋体" w:eastAsia="黑体" w:cs="黑体"/>
                <w:color w:val="000000"/>
                <w:kern w:val="0"/>
                <w:sz w:val="24"/>
              </w:rPr>
              <w:t>完成时限</w:t>
            </w:r>
          </w:p>
        </w:tc>
      </w:tr>
      <w:tr>
        <w:tblPrEx>
          <w:tblLayout w:type="fixed"/>
          <w:tblCellMar>
            <w:top w:w="0" w:type="dxa"/>
            <w:left w:w="0" w:type="dxa"/>
            <w:bottom w:w="0" w:type="dxa"/>
            <w:right w:w="0" w:type="dxa"/>
          </w:tblCellMar>
        </w:tblPrEx>
        <w:trPr>
          <w:gridAfter w:val="1"/>
          <w:wAfter w:w="174" w:type="dxa"/>
          <w:trHeight w:val="477" w:hRule="atLeast"/>
        </w:trPr>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黑体"/>
                <w:color w:val="000000"/>
                <w:sz w:val="24"/>
              </w:rPr>
            </w:pPr>
            <w:r>
              <w:rPr>
                <w:rFonts w:hint="eastAsia" w:ascii="仿宋" w:hAnsi="仿宋" w:eastAsia="仿宋" w:cs="黑体"/>
                <w:color w:val="000000"/>
                <w:kern w:val="0"/>
                <w:sz w:val="24"/>
              </w:rPr>
              <w:t>基础性指标(10项，一票否决）</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1</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存量代码100%转换为统一社会信用代码。</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市市场监管局、市委编办、市民政局</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持续巩固</w:t>
            </w:r>
          </w:p>
        </w:tc>
      </w:tr>
      <w:tr>
        <w:tblPrEx>
          <w:tblLayout w:type="fixed"/>
          <w:tblCellMar>
            <w:top w:w="0" w:type="dxa"/>
            <w:left w:w="0" w:type="dxa"/>
            <w:bottom w:w="0" w:type="dxa"/>
            <w:right w:w="0" w:type="dxa"/>
          </w:tblCellMar>
        </w:tblPrEx>
        <w:trPr>
          <w:gridAfter w:val="1"/>
          <w:wAfter w:w="174" w:type="dxa"/>
          <w:trHeight w:val="479"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2</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辖区内政府服务大厅100%接入信用信息共享平台和信用网站。</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市发展改革委、市政务服务和大数据管理局</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持续巩固</w:t>
            </w:r>
          </w:p>
        </w:tc>
      </w:tr>
      <w:tr>
        <w:tblPrEx>
          <w:tblLayout w:type="fixed"/>
          <w:tblCellMar>
            <w:top w:w="0" w:type="dxa"/>
            <w:left w:w="0" w:type="dxa"/>
            <w:bottom w:w="0" w:type="dxa"/>
            <w:right w:w="0" w:type="dxa"/>
          </w:tblCellMar>
        </w:tblPrEx>
        <w:trPr>
          <w:gridAfter w:val="1"/>
          <w:wAfter w:w="174" w:type="dxa"/>
          <w:trHeight w:val="521"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3</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经整改后退出黑名单比例达到在运营黑名单主体总量的50%以上。</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市中级法院、市发展改革委</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持续巩固</w:t>
            </w:r>
          </w:p>
        </w:tc>
      </w:tr>
      <w:tr>
        <w:tblPrEx>
          <w:tblLayout w:type="fixed"/>
          <w:tblCellMar>
            <w:top w:w="0" w:type="dxa"/>
            <w:left w:w="0" w:type="dxa"/>
            <w:bottom w:w="0" w:type="dxa"/>
            <w:right w:w="0" w:type="dxa"/>
          </w:tblCellMar>
        </w:tblPrEx>
        <w:trPr>
          <w:gridAfter w:val="1"/>
          <w:wAfter w:w="174" w:type="dxa"/>
          <w:trHeight w:val="55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4</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信用门户网站上，法人和非法人组织户均信息公示量达到2条，日均点击量达到城市户籍人口总量的1%。</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市发展改革委</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持续巩固</w:t>
            </w:r>
          </w:p>
        </w:tc>
      </w:tr>
      <w:tr>
        <w:tblPrEx>
          <w:tblLayout w:type="fixed"/>
          <w:tblCellMar>
            <w:top w:w="0" w:type="dxa"/>
            <w:left w:w="0" w:type="dxa"/>
            <w:bottom w:w="0" w:type="dxa"/>
            <w:right w:w="0" w:type="dxa"/>
          </w:tblCellMar>
        </w:tblPrEx>
        <w:trPr>
          <w:gridAfter w:val="1"/>
          <w:wAfter w:w="174" w:type="dxa"/>
          <w:trHeight w:val="584"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5</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统一社会信用代码重错率低于万分之一。</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市市场监管局、市委编办、市民政局</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5月底前</w:t>
            </w:r>
          </w:p>
        </w:tc>
      </w:tr>
      <w:tr>
        <w:tblPrEx>
          <w:tblLayout w:type="fixed"/>
          <w:tblCellMar>
            <w:top w:w="0" w:type="dxa"/>
            <w:left w:w="0" w:type="dxa"/>
            <w:bottom w:w="0" w:type="dxa"/>
            <w:right w:w="0" w:type="dxa"/>
          </w:tblCellMar>
        </w:tblPrEx>
        <w:trPr>
          <w:gridAfter w:val="1"/>
          <w:wAfter w:w="174" w:type="dxa"/>
          <w:trHeight w:val="545"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6</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政府失信事件整改到位率达到100%。</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各县区政府（管委会），市中级法院</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5月底前</w:t>
            </w:r>
          </w:p>
        </w:tc>
      </w:tr>
      <w:tr>
        <w:tblPrEx>
          <w:tblLayout w:type="fixed"/>
          <w:tblCellMar>
            <w:top w:w="0" w:type="dxa"/>
            <w:left w:w="0" w:type="dxa"/>
            <w:bottom w:w="0" w:type="dxa"/>
            <w:right w:w="0" w:type="dxa"/>
          </w:tblCellMar>
        </w:tblPrEx>
        <w:trPr>
          <w:gridAfter w:val="1"/>
          <w:wAfter w:w="174" w:type="dxa"/>
          <w:trHeight w:val="535"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7</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行政许可和行政处罚信息100%上报至“信用中国”网站公示。</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市政府各部门</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5月20日前</w:t>
            </w:r>
          </w:p>
        </w:tc>
      </w:tr>
      <w:tr>
        <w:tblPrEx>
          <w:tblLayout w:type="fixed"/>
          <w:tblCellMar>
            <w:top w:w="0" w:type="dxa"/>
            <w:left w:w="0" w:type="dxa"/>
            <w:bottom w:w="0" w:type="dxa"/>
            <w:right w:w="0" w:type="dxa"/>
          </w:tblCellMar>
        </w:tblPrEx>
        <w:trPr>
          <w:gridAfter w:val="1"/>
          <w:wAfter w:w="174" w:type="dxa"/>
          <w:trHeight w:val="689"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8</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在运营黑名单主体及公共信用综合评价为“差”的市场主体80%提交信用报告。</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市中级法院、市发展改革委</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5月底前</w:t>
            </w:r>
          </w:p>
        </w:tc>
      </w:tr>
      <w:tr>
        <w:tblPrEx>
          <w:tblLayout w:type="fixed"/>
          <w:tblCellMar>
            <w:top w:w="0" w:type="dxa"/>
            <w:left w:w="0" w:type="dxa"/>
            <w:bottom w:w="0" w:type="dxa"/>
            <w:right w:w="0" w:type="dxa"/>
          </w:tblCellMar>
        </w:tblPrEx>
        <w:trPr>
          <w:gridAfter w:val="1"/>
          <w:wAfter w:w="174" w:type="dxa"/>
          <w:trHeight w:val="625"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9</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信用修复培训覆盖面达到在运营黑名单主体总量的50%以上。</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市中级法院、市发展改革委</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5月底前</w:t>
            </w:r>
          </w:p>
        </w:tc>
      </w:tr>
      <w:tr>
        <w:tblPrEx>
          <w:tblLayout w:type="fixed"/>
          <w:tblCellMar>
            <w:top w:w="0" w:type="dxa"/>
            <w:left w:w="0" w:type="dxa"/>
            <w:bottom w:w="0" w:type="dxa"/>
            <w:right w:w="0" w:type="dxa"/>
          </w:tblCellMar>
        </w:tblPrEx>
        <w:trPr>
          <w:gridAfter w:val="1"/>
          <w:wAfter w:w="174" w:type="dxa"/>
          <w:trHeight w:val="1757"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10</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四类信用承诺覆盖面达到90%或100%。（1）主动承诺型承诺和行业自律型承诺，合计覆盖90%以上的市场主体。（2）审批替代型承诺，《国务院关于在全国推开“证照分离”改革的通知》明确的实行告知承诺的19个事项100%覆盖。（3）容缺受理型承诺，行政审批事项100%应用守信容缺受理类承诺。（4）失信修复型承诺，覆盖100%在运营的黑名单主体。</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主动承诺和行业自律醒承诺由各行业监管部门负责；审批替代型承诺和容缺受理型承诺由政府各部门负责；失信修复型承诺由市中级法院负责。</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5月底前</w:t>
            </w:r>
          </w:p>
        </w:tc>
      </w:tr>
      <w:tr>
        <w:tblPrEx>
          <w:tblLayout w:type="fixed"/>
          <w:tblCellMar>
            <w:top w:w="0" w:type="dxa"/>
            <w:left w:w="0" w:type="dxa"/>
            <w:bottom w:w="0" w:type="dxa"/>
            <w:right w:w="0" w:type="dxa"/>
          </w:tblCellMar>
        </w:tblPrEx>
        <w:trPr>
          <w:gridAfter w:val="1"/>
          <w:wAfter w:w="174" w:type="dxa"/>
          <w:trHeight w:val="1193" w:hRule="atLeast"/>
        </w:trPr>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黑体"/>
                <w:color w:val="000000"/>
                <w:kern w:val="0"/>
                <w:sz w:val="24"/>
              </w:rPr>
            </w:pPr>
            <w:r>
              <w:rPr>
                <w:rFonts w:hint="eastAsia" w:ascii="仿宋" w:hAnsi="仿宋" w:eastAsia="仿宋" w:cs="黑体"/>
                <w:color w:val="000000"/>
                <w:kern w:val="0"/>
                <w:sz w:val="24"/>
              </w:rPr>
              <w:t>引导性指标</w:t>
            </w:r>
          </w:p>
          <w:p>
            <w:pPr>
              <w:keepNext/>
              <w:adjustRightInd w:val="0"/>
              <w:snapToGrid w:val="0"/>
              <w:jc w:val="left"/>
              <w:textAlignment w:val="center"/>
              <w:rPr>
                <w:rFonts w:ascii="仿宋" w:hAnsi="仿宋" w:eastAsia="仿宋" w:cs="黑体"/>
                <w:color w:val="000000"/>
                <w:kern w:val="0"/>
                <w:sz w:val="24"/>
              </w:rPr>
            </w:pPr>
            <w:r>
              <w:rPr>
                <w:rFonts w:hint="eastAsia" w:ascii="仿宋" w:hAnsi="仿宋" w:eastAsia="仿宋" w:cs="黑体"/>
                <w:color w:val="000000"/>
                <w:kern w:val="0"/>
                <w:sz w:val="24"/>
              </w:rPr>
              <w:t>（10项，按完成情况打分）</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11</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区县信用监测100%全覆盖。城市政府已将信用监测延伸至所辖县市区，且已有明确规划进一步延伸至乡镇、街道。最近一年城市信用状况监测预警排名位于地级市前100名、县级市前100名、省会及副省级城市未列入约谈范围。</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各县区政府（管委会），市发展改革委</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5月底前</w:t>
            </w:r>
          </w:p>
        </w:tc>
      </w:tr>
      <w:tr>
        <w:tblPrEx>
          <w:tblLayout w:type="fixed"/>
          <w:tblCellMar>
            <w:top w:w="0" w:type="dxa"/>
            <w:left w:w="0" w:type="dxa"/>
            <w:bottom w:w="0" w:type="dxa"/>
            <w:right w:w="0" w:type="dxa"/>
          </w:tblCellMar>
        </w:tblPrEx>
        <w:trPr>
          <w:gridAfter w:val="1"/>
          <w:wAfter w:w="174" w:type="dxa"/>
          <w:trHeight w:val="495"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12</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城市实施联合奖惩领域的数量不少于国家层面实施联合奖惩领域数量。</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市政府各部门、各县区政府（管委会）</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持续推进</w:t>
            </w:r>
          </w:p>
        </w:tc>
      </w:tr>
      <w:tr>
        <w:tblPrEx>
          <w:tblLayout w:type="fixed"/>
          <w:tblCellMar>
            <w:top w:w="0" w:type="dxa"/>
            <w:left w:w="0" w:type="dxa"/>
            <w:bottom w:w="0" w:type="dxa"/>
            <w:right w:w="0" w:type="dxa"/>
          </w:tblCellMar>
        </w:tblPrEx>
        <w:trPr>
          <w:gridAfter w:val="1"/>
          <w:wAfter w:w="174" w:type="dxa"/>
          <w:trHeight w:val="445"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13</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单位失信记录100%穿透关联至其主要负责人和直接责任人失信记录。</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市中级法院、市发展改革委</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持续推进</w:t>
            </w:r>
          </w:p>
        </w:tc>
      </w:tr>
      <w:tr>
        <w:tblPrEx>
          <w:tblLayout w:type="fixed"/>
          <w:tblCellMar>
            <w:top w:w="0" w:type="dxa"/>
            <w:left w:w="0" w:type="dxa"/>
            <w:bottom w:w="0" w:type="dxa"/>
            <w:right w:w="0" w:type="dxa"/>
          </w:tblCellMar>
        </w:tblPrEx>
        <w:trPr>
          <w:gridAfter w:val="1"/>
          <w:wAfter w:w="174" w:type="dxa"/>
          <w:trHeight w:val="585"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14</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政府、司法行政部门和水、电、气、热、通信等公共事业单位100%联通信用信息共享平台并共享信息。</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市政府各部门，有关公共事业单位</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5月底前</w:t>
            </w:r>
          </w:p>
        </w:tc>
      </w:tr>
      <w:tr>
        <w:tblPrEx>
          <w:tblLayout w:type="fixed"/>
          <w:tblCellMar>
            <w:top w:w="0" w:type="dxa"/>
            <w:left w:w="0" w:type="dxa"/>
            <w:bottom w:w="0" w:type="dxa"/>
            <w:right w:w="0" w:type="dxa"/>
          </w:tblCellMar>
        </w:tblPrEx>
        <w:trPr>
          <w:gridAfter w:val="1"/>
          <w:wAfter w:w="174" w:type="dxa"/>
          <w:trHeight w:val="397"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15</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归集的有效联合奖惩案例数量占“红黑名单”总量的30%以上。</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市政府各部门、各县区政府（管委会）</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持续推进</w:t>
            </w:r>
          </w:p>
        </w:tc>
      </w:tr>
      <w:tr>
        <w:tblPrEx>
          <w:tblLayout w:type="fixed"/>
          <w:tblCellMar>
            <w:top w:w="0" w:type="dxa"/>
            <w:left w:w="0" w:type="dxa"/>
            <w:bottom w:w="0" w:type="dxa"/>
            <w:right w:w="0" w:type="dxa"/>
          </w:tblCellMar>
        </w:tblPrEx>
        <w:trPr>
          <w:gridAfter w:val="1"/>
          <w:wAfter w:w="174" w:type="dxa"/>
          <w:trHeight w:val="449"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16</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10个以上领域信用联合奖惩嵌入相关信息系统和工作流程，实现发起-响应-反馈的自动化。</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市政府各部门</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6月底前</w:t>
            </w:r>
          </w:p>
        </w:tc>
      </w:tr>
      <w:tr>
        <w:tblPrEx>
          <w:tblLayout w:type="fixed"/>
          <w:tblCellMar>
            <w:top w:w="0" w:type="dxa"/>
            <w:left w:w="0" w:type="dxa"/>
            <w:bottom w:w="0" w:type="dxa"/>
            <w:right w:w="0" w:type="dxa"/>
          </w:tblCellMar>
        </w:tblPrEx>
        <w:trPr>
          <w:gridAfter w:val="1"/>
          <w:wAfter w:w="174" w:type="dxa"/>
          <w:trHeight w:val="335"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17</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超过70%的城市户籍人口拥有个人诚信分</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市发展改革委</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6月底前</w:t>
            </w:r>
          </w:p>
        </w:tc>
      </w:tr>
      <w:tr>
        <w:tblPrEx>
          <w:tblLayout w:type="fixed"/>
          <w:tblCellMar>
            <w:top w:w="0" w:type="dxa"/>
            <w:left w:w="0" w:type="dxa"/>
            <w:bottom w:w="0" w:type="dxa"/>
            <w:right w:w="0" w:type="dxa"/>
          </w:tblCellMar>
        </w:tblPrEx>
        <w:trPr>
          <w:gridAfter w:val="1"/>
          <w:wAfter w:w="174" w:type="dxa"/>
          <w:trHeight w:val="836"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18</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在教育、劳动就业、医疗卫生、住房保障等领域领域实施“互联网+信用+民生”和“信易贷”“信易租”“信易行”“信易游”“信易批”“食品名城”等“信易+”创新应用。</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市教育局、市人社局、市卫健委、市住建局、市金融工作局、市交通运输局、市文化广电和旅游局、市市场监管局等各行业主管部门</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6月底前</w:t>
            </w:r>
          </w:p>
        </w:tc>
      </w:tr>
      <w:tr>
        <w:tblPrEx>
          <w:tblLayout w:type="fixed"/>
          <w:tblCellMar>
            <w:top w:w="0" w:type="dxa"/>
            <w:left w:w="0" w:type="dxa"/>
            <w:bottom w:w="0" w:type="dxa"/>
            <w:right w:w="0" w:type="dxa"/>
          </w:tblCellMar>
        </w:tblPrEx>
        <w:trPr>
          <w:gridAfter w:val="1"/>
          <w:wAfter w:w="174" w:type="dxa"/>
          <w:trHeight w:val="61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19</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20个以上领域开展行业信用记录、信息公示、风险提示、预警监测、信用培训等信用监管工作。</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市政府各部门</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持续推进</w:t>
            </w:r>
          </w:p>
        </w:tc>
      </w:tr>
      <w:tr>
        <w:tblPrEx>
          <w:tblLayout w:type="fixed"/>
          <w:tblCellMar>
            <w:top w:w="0" w:type="dxa"/>
            <w:left w:w="0" w:type="dxa"/>
            <w:bottom w:w="0" w:type="dxa"/>
            <w:right w:w="0" w:type="dxa"/>
          </w:tblCellMar>
        </w:tblPrEx>
        <w:trPr>
          <w:gridAfter w:val="1"/>
          <w:wAfter w:w="174" w:type="dxa"/>
          <w:trHeight w:val="44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rPr>
                <w:rFonts w:ascii="仿宋" w:hAnsi="仿宋" w:eastAsia="仿宋" w:cs="黑体"/>
                <w:color w:val="000000"/>
                <w:sz w:val="24"/>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20</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20个领域开展失信问题专项治理，并举办“诚信建设万里行”活动。</w:t>
            </w:r>
          </w:p>
        </w:tc>
        <w:tc>
          <w:tcPr>
            <w:tcW w:w="4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left"/>
              <w:textAlignment w:val="center"/>
              <w:rPr>
                <w:rFonts w:ascii="仿宋" w:hAnsi="仿宋" w:eastAsia="仿宋" w:cs="宋体"/>
                <w:color w:val="000000"/>
                <w:sz w:val="24"/>
              </w:rPr>
            </w:pPr>
            <w:r>
              <w:rPr>
                <w:rFonts w:hint="eastAsia" w:ascii="仿宋" w:hAnsi="仿宋" w:eastAsia="仿宋" w:cs="宋体"/>
                <w:color w:val="000000"/>
                <w:kern w:val="0"/>
                <w:sz w:val="24"/>
              </w:rPr>
              <w:t>市政府各部门、市文明办</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adjustRightInd w:val="0"/>
              <w:snapToGrid w:val="0"/>
              <w:jc w:val="center"/>
              <w:textAlignment w:val="center"/>
              <w:rPr>
                <w:rFonts w:ascii="仿宋" w:hAnsi="仿宋" w:eastAsia="仿宋" w:cs="宋体"/>
                <w:color w:val="000000"/>
                <w:sz w:val="24"/>
              </w:rPr>
            </w:pPr>
            <w:r>
              <w:rPr>
                <w:rFonts w:hint="eastAsia" w:ascii="仿宋" w:hAnsi="仿宋" w:eastAsia="仿宋" w:cs="宋体"/>
                <w:color w:val="000000"/>
                <w:kern w:val="0"/>
                <w:sz w:val="24"/>
              </w:rPr>
              <w:t>持续推进</w:t>
            </w:r>
          </w:p>
        </w:tc>
      </w:tr>
    </w:tbl>
    <w:p>
      <w:pPr>
        <w:pStyle w:val="8"/>
        <w:keepNext/>
        <w:adjustRightInd w:val="0"/>
        <w:spacing w:line="600" w:lineRule="exact"/>
        <w:jc w:val="left"/>
        <w:rPr>
          <w:rFonts w:ascii="黑体" w:hAnsi="黑体" w:eastAsia="黑体" w:cs="仿宋_GB2312"/>
          <w:kern w:val="32"/>
          <w:sz w:val="32"/>
          <w:szCs w:val="32"/>
        </w:rPr>
      </w:pPr>
      <w:r>
        <w:rPr>
          <w:rFonts w:hint="eastAsia" w:ascii="黑体" w:hAnsi="黑体" w:eastAsia="黑体" w:cs="仿宋_GB2312"/>
          <w:kern w:val="32"/>
          <w:sz w:val="32"/>
          <w:szCs w:val="32"/>
        </w:rPr>
        <w:t>2.</w:t>
      </w:r>
      <w:r>
        <w:rPr>
          <w:rStyle w:val="7"/>
          <w:rFonts w:hint="default" w:ascii="黑体" w:hAnsi="黑体" w:eastAsia="黑体"/>
          <w:kern w:val="2"/>
        </w:rPr>
        <w:t>社会信用体系建设示范城市评估指标细则任务分解表</w:t>
      </w:r>
    </w:p>
    <w:p>
      <w:pPr>
        <w:keepNext/>
        <w:adjustRightInd w:val="0"/>
        <w:snapToGrid w:val="0"/>
        <w:jc w:val="left"/>
      </w:pPr>
    </w:p>
    <w:tbl>
      <w:tblPr>
        <w:tblStyle w:val="6"/>
        <w:tblW w:w="13950" w:type="dxa"/>
        <w:jc w:val="center"/>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90"/>
        <w:gridCol w:w="1200"/>
        <w:gridCol w:w="4680"/>
        <w:gridCol w:w="388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1965" w:type="dxa"/>
            <w:vAlign w:val="center"/>
          </w:tcPr>
          <w:p>
            <w:pPr>
              <w:keepNext/>
              <w:adjustRightInd w:val="0"/>
              <w:snapToGrid w:val="0"/>
              <w:spacing w:line="320" w:lineRule="exact"/>
              <w:jc w:val="center"/>
              <w:rPr>
                <w:rFonts w:ascii="黑体" w:hAnsi="黑体" w:eastAsia="黑体"/>
                <w:szCs w:val="21"/>
              </w:rPr>
            </w:pPr>
            <w:r>
              <w:rPr>
                <w:rFonts w:ascii="黑体" w:hAnsi="黑体" w:eastAsia="黑体"/>
                <w:szCs w:val="21"/>
              </w:rPr>
              <w:t>项</w:t>
            </w:r>
            <w:r>
              <w:rPr>
                <w:rFonts w:hint="eastAsia" w:ascii="黑体" w:hAnsi="黑体" w:eastAsia="黑体"/>
                <w:szCs w:val="21"/>
              </w:rPr>
              <w:t xml:space="preserve">  </w:t>
            </w:r>
            <w:r>
              <w:rPr>
                <w:rFonts w:ascii="黑体" w:hAnsi="黑体" w:eastAsia="黑体"/>
                <w:szCs w:val="21"/>
              </w:rPr>
              <w:t>目</w:t>
            </w:r>
          </w:p>
        </w:tc>
        <w:tc>
          <w:tcPr>
            <w:tcW w:w="690" w:type="dxa"/>
            <w:tcMar>
              <w:left w:w="57" w:type="dxa"/>
              <w:right w:w="57" w:type="dxa"/>
            </w:tcMar>
            <w:vAlign w:val="center"/>
          </w:tcPr>
          <w:p>
            <w:pPr>
              <w:keepNext/>
              <w:adjustRightInd w:val="0"/>
              <w:snapToGrid w:val="0"/>
              <w:spacing w:line="320" w:lineRule="exact"/>
              <w:jc w:val="center"/>
              <w:rPr>
                <w:rFonts w:eastAsia="黑体"/>
                <w:szCs w:val="21"/>
              </w:rPr>
            </w:pPr>
            <w:r>
              <w:rPr>
                <w:rFonts w:eastAsia="黑体"/>
                <w:szCs w:val="21"/>
              </w:rPr>
              <w:t>分值</w:t>
            </w:r>
          </w:p>
        </w:tc>
        <w:tc>
          <w:tcPr>
            <w:tcW w:w="1200" w:type="dxa"/>
            <w:vAlign w:val="center"/>
          </w:tcPr>
          <w:p>
            <w:pPr>
              <w:keepNext/>
              <w:adjustRightInd w:val="0"/>
              <w:snapToGrid w:val="0"/>
              <w:spacing w:line="320" w:lineRule="exact"/>
              <w:jc w:val="center"/>
              <w:rPr>
                <w:rFonts w:eastAsia="黑体"/>
                <w:szCs w:val="21"/>
              </w:rPr>
            </w:pPr>
            <w:r>
              <w:rPr>
                <w:rFonts w:eastAsia="黑体"/>
                <w:szCs w:val="21"/>
              </w:rPr>
              <w:t>评估内容</w:t>
            </w:r>
          </w:p>
        </w:tc>
        <w:tc>
          <w:tcPr>
            <w:tcW w:w="4680" w:type="dxa"/>
            <w:vAlign w:val="center"/>
          </w:tcPr>
          <w:p>
            <w:pPr>
              <w:keepNext/>
              <w:adjustRightInd w:val="0"/>
              <w:snapToGrid w:val="0"/>
              <w:spacing w:line="320" w:lineRule="exact"/>
              <w:jc w:val="center"/>
              <w:rPr>
                <w:rFonts w:eastAsia="黑体"/>
                <w:szCs w:val="21"/>
              </w:rPr>
            </w:pPr>
            <w:r>
              <w:rPr>
                <w:rFonts w:eastAsia="黑体"/>
                <w:szCs w:val="21"/>
              </w:rPr>
              <w:t>评</w:t>
            </w:r>
            <w:r>
              <w:rPr>
                <w:rFonts w:hint="eastAsia" w:eastAsia="黑体"/>
                <w:szCs w:val="21"/>
              </w:rPr>
              <w:t xml:space="preserve">  </w:t>
            </w:r>
            <w:r>
              <w:rPr>
                <w:rFonts w:eastAsia="黑体"/>
                <w:szCs w:val="21"/>
              </w:rPr>
              <w:t>分</w:t>
            </w:r>
            <w:r>
              <w:rPr>
                <w:rFonts w:hint="eastAsia" w:eastAsia="黑体"/>
                <w:szCs w:val="21"/>
              </w:rPr>
              <w:t xml:space="preserve">  </w:t>
            </w:r>
            <w:r>
              <w:rPr>
                <w:rFonts w:eastAsia="黑体"/>
                <w:szCs w:val="21"/>
              </w:rPr>
              <w:t>标</w:t>
            </w:r>
            <w:r>
              <w:rPr>
                <w:rFonts w:hint="eastAsia" w:eastAsia="黑体"/>
                <w:szCs w:val="21"/>
              </w:rPr>
              <w:t xml:space="preserve">  </w:t>
            </w:r>
            <w:r>
              <w:rPr>
                <w:rFonts w:eastAsia="黑体"/>
                <w:szCs w:val="21"/>
              </w:rPr>
              <w:t>准</w:t>
            </w:r>
          </w:p>
        </w:tc>
        <w:tc>
          <w:tcPr>
            <w:tcW w:w="3885" w:type="dxa"/>
            <w:vAlign w:val="center"/>
          </w:tcPr>
          <w:p>
            <w:pPr>
              <w:keepNext/>
              <w:adjustRightInd w:val="0"/>
              <w:snapToGrid w:val="0"/>
              <w:spacing w:line="320" w:lineRule="exact"/>
              <w:jc w:val="center"/>
              <w:rPr>
                <w:rFonts w:eastAsia="黑体"/>
                <w:szCs w:val="21"/>
              </w:rPr>
            </w:pPr>
            <w:r>
              <w:rPr>
                <w:rFonts w:hint="eastAsia" w:eastAsia="黑体"/>
                <w:szCs w:val="21"/>
              </w:rPr>
              <w:t>评  分  细  则</w:t>
            </w:r>
          </w:p>
        </w:tc>
        <w:tc>
          <w:tcPr>
            <w:tcW w:w="1530" w:type="dxa"/>
            <w:vAlign w:val="center"/>
          </w:tcPr>
          <w:p>
            <w:pPr>
              <w:keepNext/>
              <w:adjustRightInd w:val="0"/>
              <w:snapToGrid w:val="0"/>
              <w:spacing w:line="320" w:lineRule="exact"/>
              <w:jc w:val="center"/>
              <w:rPr>
                <w:rFonts w:eastAsia="黑体"/>
                <w:szCs w:val="21"/>
              </w:rPr>
            </w:pPr>
            <w:r>
              <w:rPr>
                <w:rFonts w:hint="eastAsia" w:eastAsia="黑体"/>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jc w:val="center"/>
        </w:trPr>
        <w:tc>
          <w:tcPr>
            <w:tcW w:w="1965" w:type="dxa"/>
            <w:vAlign w:val="center"/>
          </w:tcPr>
          <w:p>
            <w:pPr>
              <w:keepNext/>
              <w:numPr>
                <w:ilvl w:val="0"/>
                <w:numId w:val="1"/>
              </w:numPr>
              <w:adjustRightInd w:val="0"/>
              <w:snapToGrid w:val="0"/>
              <w:spacing w:line="300" w:lineRule="exact"/>
              <w:jc w:val="center"/>
              <w:rPr>
                <w:rFonts w:ascii="黑体" w:hAnsi="黑体" w:eastAsia="黑体" w:cstheme="minorEastAsia"/>
                <w:sz w:val="24"/>
              </w:rPr>
            </w:pPr>
            <w:r>
              <w:rPr>
                <w:rFonts w:hint="eastAsia" w:ascii="黑体" w:hAnsi="黑体" w:eastAsia="黑体" w:cstheme="minorEastAsia"/>
                <w:sz w:val="24"/>
              </w:rPr>
              <w:t>贯彻落实党中央国务院决策部署情况</w:t>
            </w:r>
          </w:p>
        </w:tc>
        <w:tc>
          <w:tcPr>
            <w:tcW w:w="690" w:type="dxa"/>
            <w:vAlign w:val="center"/>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4</w:t>
            </w:r>
          </w:p>
        </w:tc>
        <w:tc>
          <w:tcPr>
            <w:tcW w:w="1200" w:type="dxa"/>
            <w:vAlign w:val="center"/>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贯彻落实习近平总书记重要指示和党中央国务院重要文件精神</w:t>
            </w:r>
          </w:p>
        </w:tc>
        <w:tc>
          <w:tcPr>
            <w:tcW w:w="4680" w:type="dxa"/>
            <w:vAlign w:val="center"/>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【有贯彻部署机制，有细化落实方案，政府重视程度高】</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根据城市（城区）党委政府学习落实习近平总书记关于社会信用体系建设的重要指示批示精神，贯彻落实党中央、国务院和国家社会信用体系建设牵头部门关于社会信用体系建设系列重要文件，建立有效机制、制定规划计划和实施方案部署落实社会信用体系建设等情况，酌情计分。</w:t>
            </w:r>
          </w:p>
        </w:tc>
        <w:tc>
          <w:tcPr>
            <w:tcW w:w="3885" w:type="dxa"/>
            <w:vAlign w:val="center"/>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转发或出台相应贯彻落实文件均可。</w:t>
            </w:r>
          </w:p>
        </w:tc>
        <w:tc>
          <w:tcPr>
            <w:tcW w:w="1530" w:type="dxa"/>
            <w:vAlign w:val="center"/>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各县区政府（管委会）</w:t>
            </w:r>
          </w:p>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7" w:hRule="atLeast"/>
          <w:jc w:val="center"/>
        </w:trPr>
        <w:tc>
          <w:tcPr>
            <w:tcW w:w="1965" w:type="dxa"/>
            <w:vAlign w:val="center"/>
          </w:tcPr>
          <w:p>
            <w:pPr>
              <w:keepNext/>
              <w:adjustRightInd w:val="0"/>
              <w:snapToGrid w:val="0"/>
              <w:spacing w:line="300" w:lineRule="exact"/>
              <w:jc w:val="center"/>
              <w:rPr>
                <w:rFonts w:ascii="黑体" w:hAnsi="黑体" w:eastAsia="黑体" w:cstheme="minorEastAsia"/>
                <w:sz w:val="24"/>
              </w:rPr>
            </w:pPr>
            <w:r>
              <w:rPr>
                <w:rFonts w:hint="eastAsia" w:ascii="黑体" w:hAnsi="黑体" w:eastAsia="黑体" w:cstheme="minorEastAsia"/>
                <w:sz w:val="24"/>
              </w:rPr>
              <w:t>二、弘扬社会主义核心价值观情况</w:t>
            </w:r>
          </w:p>
        </w:tc>
        <w:tc>
          <w:tcPr>
            <w:tcW w:w="690" w:type="dxa"/>
            <w:vAlign w:val="center"/>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4</w:t>
            </w:r>
          </w:p>
        </w:tc>
        <w:tc>
          <w:tcPr>
            <w:tcW w:w="1200" w:type="dxa"/>
            <w:vAlign w:val="center"/>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诚信文化建设与失信专项治理</w:t>
            </w:r>
          </w:p>
        </w:tc>
        <w:tc>
          <w:tcPr>
            <w:tcW w:w="4680" w:type="dxa"/>
            <w:vAlign w:val="center"/>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【有诚信宣教活动，有诚信失信典型，市民诚信意识高】</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,20)</w:instrText>
            </w:r>
            <w:r>
              <w:rPr>
                <w:rFonts w:hint="eastAsia" w:ascii="仿宋" w:hAnsi="仿宋" w:eastAsia="仿宋" w:cstheme="minorEastAsia"/>
                <w:sz w:val="24"/>
              </w:rPr>
              <w:fldChar w:fldCharType="end"/>
            </w:r>
            <w:r>
              <w:rPr>
                <w:rFonts w:hint="eastAsia" w:ascii="仿宋" w:hAnsi="仿宋" w:eastAsia="仿宋" w:cstheme="minorEastAsia"/>
                <w:sz w:val="24"/>
              </w:rPr>
              <w:t>按照中央宣传部部署推进“诚信建设万里行”，根据城市接力、宣传教育、百城万企亮信用等活动情况计分，最高得2分。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,20)</w:instrText>
            </w:r>
            <w:r>
              <w:rPr>
                <w:rFonts w:hint="eastAsia" w:ascii="仿宋" w:hAnsi="仿宋" w:eastAsia="仿宋" w:cstheme="minorEastAsia"/>
                <w:sz w:val="24"/>
              </w:rPr>
              <w:fldChar w:fldCharType="end"/>
            </w:r>
            <w:r>
              <w:rPr>
                <w:rFonts w:hint="eastAsia" w:ascii="仿宋" w:hAnsi="仿宋" w:eastAsia="仿宋" w:cstheme="minorEastAsia"/>
                <w:sz w:val="24"/>
              </w:rPr>
              <w:t>按照中央文明委部署推进20个重点领域（文明委〔2018〕4号文件的19个领域+假承诺假证明假证件领域）失信问题专项治理，根据黑名单和重点关注名单梳理整改、长效机制建设等情况计分，最高得2分。</w:t>
            </w:r>
          </w:p>
        </w:tc>
        <w:tc>
          <w:tcPr>
            <w:tcW w:w="3885" w:type="dxa"/>
            <w:vAlign w:val="center"/>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（1）城市接力、宣传教育、百城万企亮信用，有其一即可。</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（2）20个重点领域，每一个领域开展专项治理工作的，得0.1分。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（3）地方所开展的20个领域以外的其他领域失信问题专项治理，需该领域覆盖面较大且有成效，计分时最多不超过3个。</w:t>
            </w:r>
          </w:p>
        </w:tc>
        <w:tc>
          <w:tcPr>
            <w:tcW w:w="1530" w:type="dxa"/>
            <w:vAlign w:val="center"/>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（1）市委宣传部、市文明办负责</w:t>
            </w:r>
          </w:p>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（2）（3）各县区政府（管委会），市政府各部门负责</w:t>
            </w:r>
          </w:p>
          <w:p>
            <w:pPr>
              <w:keepNext/>
              <w:adjustRightInd w:val="0"/>
              <w:snapToGrid w:val="0"/>
              <w:spacing w:line="300" w:lineRule="exact"/>
              <w:jc w:val="center"/>
              <w:rPr>
                <w:rFonts w:ascii="仿宋" w:hAnsi="仿宋" w:eastAsia="仿宋"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vAlign w:val="center"/>
          </w:tcPr>
          <w:p>
            <w:pPr>
              <w:keepNext/>
              <w:adjustRightInd w:val="0"/>
              <w:snapToGrid w:val="0"/>
              <w:spacing w:line="300" w:lineRule="exact"/>
              <w:jc w:val="center"/>
              <w:rPr>
                <w:rFonts w:ascii="黑体" w:hAnsi="黑体" w:eastAsia="黑体" w:cstheme="minorEastAsia"/>
                <w:sz w:val="24"/>
              </w:rPr>
            </w:pPr>
            <w:r>
              <w:rPr>
                <w:rFonts w:hint="eastAsia" w:ascii="黑体" w:hAnsi="黑体" w:eastAsia="黑体" w:cstheme="minorEastAsia"/>
                <w:sz w:val="24"/>
              </w:rPr>
              <w:t>三、政务诚信建设</w:t>
            </w:r>
          </w:p>
        </w:tc>
        <w:tc>
          <w:tcPr>
            <w:tcW w:w="690" w:type="dxa"/>
            <w:vAlign w:val="center"/>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6</w:t>
            </w:r>
          </w:p>
        </w:tc>
        <w:tc>
          <w:tcPr>
            <w:tcW w:w="1200" w:type="dxa"/>
            <w:vAlign w:val="center"/>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政务诚信建设的举措和成效</w:t>
            </w:r>
          </w:p>
        </w:tc>
        <w:tc>
          <w:tcPr>
            <w:tcW w:w="4680" w:type="dxa"/>
            <w:vAlign w:val="center"/>
          </w:tcPr>
          <w:p>
            <w:pPr>
              <w:keepNext/>
              <w:tabs>
                <w:tab w:val="left" w:pos="6882"/>
              </w:tabs>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【有公务员诚信档案，无政府重大失信事件，城市信用监测排名高】</w:t>
            </w:r>
          </w:p>
          <w:p>
            <w:pPr>
              <w:keepNext/>
              <w:tabs>
                <w:tab w:val="left" w:pos="6882"/>
              </w:tabs>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,19)</w:instrText>
            </w:r>
            <w:r>
              <w:rPr>
                <w:rFonts w:hint="eastAsia" w:ascii="仿宋" w:hAnsi="仿宋" w:eastAsia="仿宋" w:cstheme="minorEastAsia"/>
                <w:sz w:val="24"/>
              </w:rPr>
              <w:fldChar w:fldCharType="end"/>
            </w:r>
            <w:r>
              <w:rPr>
                <w:rFonts w:hint="eastAsia" w:ascii="仿宋" w:hAnsi="仿宋" w:eastAsia="仿宋" w:cstheme="minorEastAsia"/>
                <w:sz w:val="24"/>
              </w:rPr>
              <w:t>建立公务员诚信档案，将公务员信用记录作为干部考核、任用和奖惩的重要依据的，得2分。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,3)</w:instrText>
            </w:r>
            <w:r>
              <w:rPr>
                <w:rFonts w:hint="eastAsia" w:ascii="仿宋" w:hAnsi="仿宋" w:eastAsia="仿宋" w:cstheme="minorEastAsia"/>
                <w:sz w:val="24"/>
              </w:rPr>
              <w:fldChar w:fldCharType="end"/>
            </w:r>
            <w:r>
              <w:rPr>
                <w:rFonts w:hint="eastAsia" w:ascii="仿宋" w:hAnsi="仿宋" w:eastAsia="仿宋" w:cstheme="minorEastAsia"/>
                <w:sz w:val="24"/>
              </w:rPr>
              <w:t>无政府重大失信事件，或已全部整改到位的，得2分；每增加1件未整改到位的政府失信事件减0.5分。（根据中经网信息考核）</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,10)</w:instrText>
            </w:r>
            <w:r>
              <w:rPr>
                <w:rFonts w:hint="eastAsia" w:ascii="仿宋" w:hAnsi="仿宋" w:eastAsia="仿宋" w:cstheme="minorEastAsia"/>
                <w:sz w:val="24"/>
              </w:rPr>
              <w:fldChar w:fldCharType="end"/>
            </w:r>
            <w:r>
              <w:rPr>
                <w:rFonts w:hint="eastAsia" w:ascii="仿宋" w:hAnsi="仿宋" w:eastAsia="仿宋" w:cstheme="minorEastAsia"/>
                <w:sz w:val="24"/>
              </w:rPr>
              <w:t>城市政府已将信用监测延伸至所辖县市区，且已有明确规划进一步延伸至乡镇、街道的，得1分；城市总体信用状况根据城市信用监测结果计分，计分公式为近6期监测得分平均值*0.01，最高得1分。（根据中经网信息考核）</w:t>
            </w:r>
          </w:p>
        </w:tc>
        <w:tc>
          <w:tcPr>
            <w:tcW w:w="3885" w:type="dxa"/>
            <w:vAlign w:val="center"/>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（1）诚信档案按照建立档案的公务员数量占城市所有公务员总量的比例得分，最高得1分。要求佐证材料提供建立诚信档案的公务员数量和公务员总量两项数据，并提供公务员诚信档案系统的数据截图。</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（2）用于干部考核、任用和奖惩的酌情计分，最高得1分。佐证材料可以提供公务员信用记录信息推送给人事、纪检、组织等相关部门的证明材料。</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（3）无政府重大失信事件，或截止2018年12月15日已全部整改到位的，且2018年12月15日至2019年3月15日不出现新的政府失信事件，得2分；2018年12月15日至2019年3月15日每新增1件政府失信事件减0.5分。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4）城市政府已将信用监测延伸至所辖县市区，且已有明确规划进一步延伸至乡镇、街道的，得1分，提供监测及规划佐证材料，直辖市的区可不提供。城市总体信用状况根据城市信用监测结果计分，属于直辖市的区按照该区所在城市监测结果计分，计分公式为近6期监测得分平均值*0.01，最高得1分。</w:t>
            </w:r>
          </w:p>
        </w:tc>
        <w:tc>
          <w:tcPr>
            <w:tcW w:w="1530" w:type="dxa"/>
            <w:vAlign w:val="center"/>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（1）市人社局、市公务员局负责</w:t>
            </w:r>
          </w:p>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（2）市委组织部负责</w:t>
            </w:r>
          </w:p>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（3）市中级法院，各县区政府（管委会）负责</w:t>
            </w:r>
          </w:p>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（4）各县区政府（管委会），市发展改革委负责</w:t>
            </w:r>
          </w:p>
          <w:p>
            <w:pPr>
              <w:keepNext/>
              <w:adjustRightInd w:val="0"/>
              <w:snapToGrid w:val="0"/>
              <w:spacing w:line="300" w:lineRule="exact"/>
              <w:jc w:val="center"/>
              <w:rPr>
                <w:rFonts w:ascii="仿宋" w:hAnsi="仿宋" w:eastAsia="仿宋" w:cstheme="minorEastAsia"/>
                <w:sz w:val="24"/>
              </w:rPr>
            </w:pPr>
          </w:p>
        </w:tc>
      </w:tr>
    </w:tbl>
    <w:p>
      <w:pPr>
        <w:keepNext/>
        <w:adjustRightInd w:val="0"/>
        <w:snapToGrid w:val="0"/>
        <w:spacing w:line="300" w:lineRule="exact"/>
        <w:jc w:val="left"/>
        <w:rPr>
          <w:rFonts w:ascii="仿宋" w:hAnsi="仿宋" w:eastAsia="仿宋" w:cstheme="minorEastAsia"/>
          <w:sz w:val="24"/>
        </w:rPr>
        <w:sectPr>
          <w:footerReference r:id="rId3" w:type="default"/>
          <w:pgSz w:w="16838" w:h="11906" w:orient="landscape"/>
          <w:pgMar w:top="1191" w:right="1440" w:bottom="1191" w:left="1440" w:header="851" w:footer="992" w:gutter="0"/>
          <w:cols w:space="0" w:num="1"/>
          <w:rtlGutter w:val="0"/>
          <w:docGrid w:type="lines" w:linePitch="312" w:charSpace="0"/>
        </w:sectPr>
      </w:pPr>
    </w:p>
    <w:p>
      <w:pPr>
        <w:keepNext/>
        <w:adjustRightInd w:val="0"/>
        <w:snapToGrid w:val="0"/>
        <w:spacing w:line="300" w:lineRule="exact"/>
        <w:jc w:val="left"/>
        <w:rPr>
          <w:rFonts w:ascii="仿宋" w:hAnsi="仿宋" w:eastAsia="仿宋" w:cstheme="minorEastAsia"/>
          <w:sz w:val="24"/>
        </w:rPr>
      </w:pPr>
    </w:p>
    <w:tbl>
      <w:tblPr>
        <w:tblStyle w:val="6"/>
        <w:tblW w:w="14196" w:type="dxa"/>
        <w:jc w:val="center"/>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
        <w:gridCol w:w="2571"/>
        <w:gridCol w:w="454"/>
        <w:gridCol w:w="800"/>
        <w:gridCol w:w="5370"/>
        <w:gridCol w:w="3210"/>
        <w:gridCol w:w="1454"/>
        <w:gridCol w:w="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8" w:type="dxa"/>
          <w:wAfter w:w="309" w:type="dxa"/>
          <w:trHeight w:val="7351" w:hRule="atLeast"/>
          <w:jc w:val="center"/>
        </w:trPr>
        <w:tc>
          <w:tcPr>
            <w:tcW w:w="2571" w:type="dxa"/>
            <w:vAlign w:val="center"/>
          </w:tcPr>
          <w:p>
            <w:pPr>
              <w:keepNext/>
              <w:adjustRightInd w:val="0"/>
              <w:snapToGrid w:val="0"/>
              <w:spacing w:afterLines="25" w:line="300" w:lineRule="exact"/>
              <w:jc w:val="center"/>
              <w:rPr>
                <w:rFonts w:ascii="黑体" w:hAnsi="黑体" w:eastAsia="黑体" w:cstheme="minorEastAsia"/>
                <w:sz w:val="24"/>
              </w:rPr>
            </w:pPr>
            <w:r>
              <w:rPr>
                <w:rFonts w:hint="eastAsia" w:ascii="黑体" w:hAnsi="黑体" w:eastAsia="黑体" w:cstheme="minorEastAsia"/>
                <w:sz w:val="24"/>
              </w:rPr>
              <w:t>四、商务诚信建设</w:t>
            </w:r>
          </w:p>
        </w:tc>
        <w:tc>
          <w:tcPr>
            <w:tcW w:w="454" w:type="dxa"/>
            <w:vAlign w:val="center"/>
          </w:tcPr>
          <w:p>
            <w:pPr>
              <w:keepNext/>
              <w:adjustRightInd w:val="0"/>
              <w:snapToGrid w:val="0"/>
              <w:spacing w:afterLines="25" w:line="300" w:lineRule="exact"/>
              <w:jc w:val="center"/>
              <w:rPr>
                <w:rFonts w:ascii="仿宋" w:hAnsi="仿宋" w:eastAsia="仿宋" w:cstheme="minorEastAsia"/>
                <w:sz w:val="24"/>
              </w:rPr>
            </w:pPr>
            <w:r>
              <w:rPr>
                <w:rFonts w:hint="eastAsia" w:ascii="仿宋" w:hAnsi="仿宋" w:eastAsia="仿宋" w:cstheme="minorEastAsia"/>
                <w:sz w:val="24"/>
              </w:rPr>
              <w:t>6</w:t>
            </w:r>
          </w:p>
        </w:tc>
        <w:tc>
          <w:tcPr>
            <w:tcW w:w="800" w:type="dxa"/>
            <w:vAlign w:val="center"/>
          </w:tcPr>
          <w:p>
            <w:pPr>
              <w:keepNext/>
              <w:adjustRightInd w:val="0"/>
              <w:snapToGrid w:val="0"/>
              <w:spacing w:afterLines="25" w:line="300" w:lineRule="exact"/>
              <w:jc w:val="center"/>
              <w:rPr>
                <w:rFonts w:ascii="仿宋" w:hAnsi="仿宋" w:eastAsia="仿宋" w:cstheme="minorEastAsia"/>
                <w:sz w:val="24"/>
              </w:rPr>
            </w:pPr>
            <w:r>
              <w:rPr>
                <w:rFonts w:hint="eastAsia" w:ascii="仿宋" w:hAnsi="仿宋" w:eastAsia="仿宋" w:cstheme="minorEastAsia"/>
                <w:sz w:val="24"/>
              </w:rPr>
              <w:t>商务诚信建设的举措和成效</w:t>
            </w:r>
          </w:p>
        </w:tc>
        <w:tc>
          <w:tcPr>
            <w:tcW w:w="5370" w:type="dxa"/>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【有信用记录，有信息公示，有红黑名单，有分级监管】</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,19)</w:instrText>
            </w:r>
            <w:r>
              <w:rPr>
                <w:rFonts w:hint="eastAsia" w:ascii="仿宋" w:hAnsi="仿宋" w:eastAsia="仿宋" w:cstheme="minorEastAsia"/>
                <w:sz w:val="24"/>
              </w:rPr>
              <w:fldChar w:fldCharType="end"/>
            </w:r>
            <w:r>
              <w:rPr>
                <w:rFonts w:hint="eastAsia" w:ascii="仿宋" w:hAnsi="仿宋" w:eastAsia="仿宋" w:cstheme="minorEastAsia"/>
                <w:sz w:val="24"/>
              </w:rPr>
              <w:t>商务诚信建设包括生产、流通、税务、价格、工程建设、招标投标、交通运输、电子商务、中介服务业、会展广告等领域，在上述每1个领域建立信用记录的，得0.1分；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,19)</w:instrText>
            </w:r>
            <w:r>
              <w:rPr>
                <w:rFonts w:hint="eastAsia" w:ascii="仿宋" w:hAnsi="仿宋" w:eastAsia="仿宋" w:cstheme="minorEastAsia"/>
                <w:sz w:val="24"/>
              </w:rPr>
              <w:fldChar w:fldCharType="end"/>
            </w:r>
            <w:r>
              <w:rPr>
                <w:rFonts w:hint="eastAsia" w:ascii="仿宋" w:hAnsi="仿宋" w:eastAsia="仿宋" w:cstheme="minorEastAsia"/>
                <w:sz w:val="24"/>
              </w:rPr>
              <w:t>上述领域每1个领域相关信用信息在信用门户网站公示的，得0.1分；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,19)</w:instrText>
            </w:r>
            <w:r>
              <w:rPr>
                <w:rFonts w:hint="eastAsia" w:ascii="仿宋" w:hAnsi="仿宋" w:eastAsia="仿宋" w:cstheme="minorEastAsia"/>
                <w:sz w:val="24"/>
              </w:rPr>
              <w:fldChar w:fldCharType="end"/>
            </w:r>
            <w:r>
              <w:rPr>
                <w:rFonts w:hint="eastAsia" w:ascii="仿宋" w:hAnsi="仿宋" w:eastAsia="仿宋" w:cstheme="minorEastAsia"/>
                <w:sz w:val="24"/>
              </w:rPr>
              <w:t>上述领域每1个领域认定红黑名单并归集至信用信息共享平台的，得0.2分；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,19)</w:instrText>
            </w:r>
            <w:r>
              <w:rPr>
                <w:rFonts w:hint="eastAsia" w:ascii="仿宋" w:hAnsi="仿宋" w:eastAsia="仿宋" w:cstheme="minorEastAsia"/>
                <w:sz w:val="24"/>
              </w:rPr>
              <w:fldChar w:fldCharType="end"/>
            </w:r>
            <w:r>
              <w:rPr>
                <w:rFonts w:hint="eastAsia" w:ascii="仿宋" w:hAnsi="仿宋" w:eastAsia="仿宋" w:cstheme="minorEastAsia"/>
                <w:sz w:val="24"/>
              </w:rPr>
              <w:t>上述领域每1个领域建立并实施信用分级分类监管制度的，得0.2分。</w:t>
            </w:r>
          </w:p>
        </w:tc>
        <w:tc>
          <w:tcPr>
            <w:tcW w:w="3210" w:type="dxa"/>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（1）信用记录：有该领域信用信息目录清单且在信用信息共享平台建立信用记录（提供目录清单和平台截图）。</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（2）信息公示：在信用门户网站（含地方信用网站）公示该领域信用信息（提供网址和网页截图）。</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（3）红黑名单：城市按照国家或省级制定的红黑名单认定标准认定该领域红名单或黑名单（依据发改财金规〔2017〕1798号有关规定），并归集至信用信息共享平台（提供认定标准、名单和平台截图）。</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（4）分级监管：有该领域信用分级分类监管制度且有依据该制度评价生成的信用分级结果（提供已正式印发的制度文件和分级结果清单列表）。</w:t>
            </w:r>
          </w:p>
        </w:tc>
        <w:tc>
          <w:tcPr>
            <w:tcW w:w="1454" w:type="dxa"/>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市工信局、市市场监管局、市城市管理局、市住建局、市交通运输局、市商务局、市文化广电和旅游局、市税务局等部门，各县区政府（管委会）分别负责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8" w:type="dxa"/>
          <w:wAfter w:w="309" w:type="dxa"/>
          <w:trHeight w:val="8070" w:hRule="atLeast"/>
          <w:jc w:val="center"/>
        </w:trPr>
        <w:tc>
          <w:tcPr>
            <w:tcW w:w="2571" w:type="dxa"/>
            <w:vAlign w:val="center"/>
          </w:tcPr>
          <w:p>
            <w:pPr>
              <w:keepNext/>
              <w:adjustRightInd w:val="0"/>
              <w:snapToGrid w:val="0"/>
              <w:spacing w:afterLines="25" w:line="300" w:lineRule="exact"/>
              <w:jc w:val="center"/>
              <w:rPr>
                <w:rFonts w:ascii="黑体" w:hAnsi="黑体" w:eastAsia="黑体" w:cstheme="minorEastAsia"/>
                <w:sz w:val="24"/>
              </w:rPr>
            </w:pPr>
            <w:r>
              <w:rPr>
                <w:rFonts w:hint="eastAsia" w:ascii="黑体" w:hAnsi="黑体" w:eastAsia="黑体" w:cstheme="minorEastAsia"/>
                <w:sz w:val="24"/>
              </w:rPr>
              <w:t>五、社会诚信建设</w:t>
            </w:r>
          </w:p>
        </w:tc>
        <w:tc>
          <w:tcPr>
            <w:tcW w:w="454" w:type="dxa"/>
            <w:vAlign w:val="center"/>
          </w:tcPr>
          <w:p>
            <w:pPr>
              <w:keepNext/>
              <w:adjustRightInd w:val="0"/>
              <w:snapToGrid w:val="0"/>
              <w:spacing w:afterLines="25" w:line="300" w:lineRule="exact"/>
              <w:jc w:val="center"/>
              <w:rPr>
                <w:rFonts w:ascii="仿宋" w:hAnsi="仿宋" w:eastAsia="仿宋" w:cstheme="minorEastAsia"/>
                <w:sz w:val="24"/>
              </w:rPr>
            </w:pPr>
            <w:r>
              <w:rPr>
                <w:rFonts w:hint="eastAsia" w:ascii="仿宋" w:hAnsi="仿宋" w:eastAsia="仿宋" w:cstheme="minorEastAsia"/>
                <w:sz w:val="24"/>
              </w:rPr>
              <w:t>6</w:t>
            </w:r>
          </w:p>
        </w:tc>
        <w:tc>
          <w:tcPr>
            <w:tcW w:w="800" w:type="dxa"/>
            <w:vAlign w:val="center"/>
          </w:tcPr>
          <w:p>
            <w:pPr>
              <w:keepNext/>
              <w:adjustRightInd w:val="0"/>
              <w:snapToGrid w:val="0"/>
              <w:spacing w:afterLines="25" w:line="300" w:lineRule="exact"/>
              <w:jc w:val="center"/>
              <w:rPr>
                <w:rFonts w:ascii="仿宋" w:hAnsi="仿宋" w:eastAsia="仿宋" w:cstheme="minorEastAsia"/>
                <w:sz w:val="24"/>
              </w:rPr>
            </w:pPr>
            <w:r>
              <w:rPr>
                <w:rFonts w:hint="eastAsia" w:ascii="仿宋" w:hAnsi="仿宋" w:eastAsia="仿宋" w:cstheme="minorEastAsia"/>
                <w:sz w:val="24"/>
              </w:rPr>
              <w:t>社会诚信建设的举措和成效</w:t>
            </w:r>
          </w:p>
        </w:tc>
        <w:tc>
          <w:tcPr>
            <w:tcW w:w="5370" w:type="dxa"/>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【有信用记录，有信息公示，有红黑名单，有分级监管】</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,19)</w:instrText>
            </w:r>
            <w:r>
              <w:rPr>
                <w:rFonts w:hint="eastAsia" w:ascii="仿宋" w:hAnsi="仿宋" w:eastAsia="仿宋" w:cstheme="minorEastAsia"/>
                <w:sz w:val="24"/>
              </w:rPr>
              <w:fldChar w:fldCharType="end"/>
            </w:r>
            <w:r>
              <w:rPr>
                <w:rFonts w:hint="eastAsia" w:ascii="仿宋" w:hAnsi="仿宋" w:eastAsia="仿宋" w:cstheme="minorEastAsia"/>
                <w:sz w:val="24"/>
              </w:rPr>
              <w:t>社会诚信建设包括医药卫生和计划生育、社会保障、劳动用工、教育科研、文化体育旅游、知识产权、环境保护和能源节约、社会组织、重点职业人群、互联网应用及服务等领域，在上述每1个领域建立信用记录的，得0.1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,19)</w:instrText>
            </w:r>
            <w:r>
              <w:rPr>
                <w:rFonts w:hint="eastAsia" w:ascii="仿宋" w:hAnsi="仿宋" w:eastAsia="仿宋" w:cstheme="minorEastAsia"/>
                <w:sz w:val="24"/>
              </w:rPr>
              <w:fldChar w:fldCharType="end"/>
            </w:r>
            <w:r>
              <w:rPr>
                <w:rFonts w:hint="eastAsia" w:ascii="仿宋" w:hAnsi="仿宋" w:eastAsia="仿宋" w:cstheme="minorEastAsia"/>
                <w:sz w:val="24"/>
              </w:rPr>
              <w:t>上述领域每1个领域相关信用信息在信用门户网站公示的，得0.1分；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,19)</w:instrText>
            </w:r>
            <w:r>
              <w:rPr>
                <w:rFonts w:hint="eastAsia" w:ascii="仿宋" w:hAnsi="仿宋" w:eastAsia="仿宋" w:cstheme="minorEastAsia"/>
                <w:sz w:val="24"/>
              </w:rPr>
              <w:fldChar w:fldCharType="end"/>
            </w:r>
            <w:r>
              <w:rPr>
                <w:rFonts w:hint="eastAsia" w:ascii="仿宋" w:hAnsi="仿宋" w:eastAsia="仿宋" w:cstheme="minorEastAsia"/>
                <w:sz w:val="24"/>
              </w:rPr>
              <w:t>上述领域每1个领域认定红黑名单并归集至信用信息共享平台的，得0.2分；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,19)</w:instrText>
            </w:r>
            <w:r>
              <w:rPr>
                <w:rFonts w:hint="eastAsia" w:ascii="仿宋" w:hAnsi="仿宋" w:eastAsia="仿宋" w:cstheme="minorEastAsia"/>
                <w:sz w:val="24"/>
              </w:rPr>
              <w:fldChar w:fldCharType="end"/>
            </w:r>
            <w:r>
              <w:rPr>
                <w:rFonts w:hint="eastAsia" w:ascii="仿宋" w:hAnsi="仿宋" w:eastAsia="仿宋" w:cstheme="minorEastAsia"/>
                <w:sz w:val="24"/>
              </w:rPr>
              <w:t>上述领域每1个领域建立并实施信用分级分类监管制度的，得0.2分。</w:t>
            </w:r>
          </w:p>
        </w:tc>
        <w:tc>
          <w:tcPr>
            <w:tcW w:w="3210" w:type="dxa"/>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（1）信用记录：有该领域信用信息目录清单且在信用信息共享平台建立信用记录（提供目录清单和平台截图）。</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（2）信息公示：在信用门户网站（含地方信用网站）公示该领域信用信息（提供网址和网页截图）。</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（3）红黑名单：城市按照国家或省级制定的红黑名单认定标准认定该领域红名单或黑名单（依据发改财金规〔2017〕1798号有关规定），并归集至信用信息共享平台（提供认定标准、名单和平台截图）。</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（4）分级监管：有该领域信用分级分类监管制度且有依据该制度评价生成的信用分级结果（提供已正式印发的制度文件和分级结果清单列表）。</w:t>
            </w:r>
          </w:p>
        </w:tc>
        <w:tc>
          <w:tcPr>
            <w:tcW w:w="1454" w:type="dxa"/>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市卫健委、市人社局、市教育局、市科技局、市文化广电和旅游局、市生态环境局、市民政局、市工信局、市城市管理局等部门，</w:t>
            </w:r>
            <w:r>
              <w:rPr>
                <w:rFonts w:hint="eastAsia" w:ascii="仿宋" w:hAnsi="仿宋" w:eastAsia="仿宋" w:cs="宋体"/>
                <w:color w:val="000000"/>
                <w:kern w:val="0"/>
                <w:sz w:val="24"/>
              </w:rPr>
              <w:t>各县区政府（管委会）</w:t>
            </w:r>
            <w:r>
              <w:rPr>
                <w:rFonts w:hint="eastAsia" w:ascii="仿宋" w:hAnsi="仿宋" w:eastAsia="仿宋" w:cstheme="minorEastAsia"/>
                <w:sz w:val="24"/>
              </w:rPr>
              <w:t>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8" w:type="dxa"/>
          <w:wAfter w:w="309" w:type="dxa"/>
          <w:trHeight w:val="8660" w:hRule="atLeast"/>
          <w:jc w:val="center"/>
        </w:trPr>
        <w:tc>
          <w:tcPr>
            <w:tcW w:w="2571" w:type="dxa"/>
            <w:vAlign w:val="center"/>
          </w:tcPr>
          <w:p>
            <w:pPr>
              <w:keepNext/>
              <w:adjustRightInd w:val="0"/>
              <w:snapToGrid w:val="0"/>
              <w:spacing w:afterLines="25" w:line="300" w:lineRule="exact"/>
              <w:jc w:val="center"/>
              <w:rPr>
                <w:rFonts w:ascii="黑体" w:hAnsi="黑体" w:eastAsia="黑体" w:cstheme="minorEastAsia"/>
                <w:sz w:val="24"/>
              </w:rPr>
            </w:pPr>
            <w:r>
              <w:rPr>
                <w:rFonts w:hint="eastAsia" w:ascii="黑体" w:hAnsi="黑体" w:eastAsia="黑体" w:cstheme="minorEastAsia"/>
                <w:sz w:val="24"/>
              </w:rPr>
              <w:t>六、司法公信建设</w:t>
            </w:r>
          </w:p>
        </w:tc>
        <w:tc>
          <w:tcPr>
            <w:tcW w:w="454" w:type="dxa"/>
            <w:vAlign w:val="center"/>
          </w:tcPr>
          <w:p>
            <w:pPr>
              <w:keepNext/>
              <w:adjustRightInd w:val="0"/>
              <w:snapToGrid w:val="0"/>
              <w:spacing w:afterLines="25" w:line="300" w:lineRule="exact"/>
              <w:jc w:val="center"/>
              <w:rPr>
                <w:rFonts w:ascii="仿宋" w:hAnsi="仿宋" w:eastAsia="仿宋" w:cstheme="minorEastAsia"/>
                <w:sz w:val="24"/>
              </w:rPr>
            </w:pPr>
            <w:r>
              <w:rPr>
                <w:rFonts w:hint="eastAsia" w:ascii="仿宋" w:hAnsi="仿宋" w:eastAsia="仿宋" w:cstheme="minorEastAsia"/>
                <w:sz w:val="24"/>
              </w:rPr>
              <w:t>6</w:t>
            </w:r>
          </w:p>
        </w:tc>
        <w:tc>
          <w:tcPr>
            <w:tcW w:w="800" w:type="dxa"/>
            <w:vAlign w:val="center"/>
          </w:tcPr>
          <w:p>
            <w:pPr>
              <w:keepNext/>
              <w:adjustRightInd w:val="0"/>
              <w:snapToGrid w:val="0"/>
              <w:spacing w:afterLines="25" w:line="300" w:lineRule="exact"/>
              <w:jc w:val="center"/>
              <w:rPr>
                <w:rFonts w:ascii="仿宋" w:hAnsi="仿宋" w:eastAsia="仿宋" w:cstheme="minorEastAsia"/>
                <w:sz w:val="24"/>
              </w:rPr>
            </w:pPr>
            <w:r>
              <w:rPr>
                <w:rFonts w:hint="eastAsia" w:ascii="仿宋" w:hAnsi="仿宋" w:eastAsia="仿宋" w:cstheme="minorEastAsia"/>
                <w:sz w:val="24"/>
              </w:rPr>
              <w:t>司法公信建设的举措和成效</w:t>
            </w:r>
          </w:p>
        </w:tc>
        <w:tc>
          <w:tcPr>
            <w:tcW w:w="5370" w:type="dxa"/>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【有信用记录，有信息公示，有红黑名单，有分级监管】</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,19)</w:instrText>
            </w:r>
            <w:r>
              <w:rPr>
                <w:rFonts w:hint="eastAsia" w:ascii="仿宋" w:hAnsi="仿宋" w:eastAsia="仿宋" w:cstheme="minorEastAsia"/>
                <w:sz w:val="24"/>
              </w:rPr>
              <w:fldChar w:fldCharType="end"/>
            </w:r>
            <w:r>
              <w:rPr>
                <w:rFonts w:hint="eastAsia" w:ascii="仿宋" w:hAnsi="仿宋" w:eastAsia="仿宋" w:cstheme="minorEastAsia"/>
                <w:sz w:val="24"/>
              </w:rPr>
              <w:t>建立律师、公证员、基层法律服务工作者、法律援助人员、司法鉴定人员等职业人群以及律师事务所、公证机构、基层法律服务所、司法鉴定机构等单位的诚信档案并实施分级分类监管的，得3分。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,19)</w:instrText>
            </w:r>
            <w:r>
              <w:rPr>
                <w:rFonts w:hint="eastAsia" w:ascii="仿宋" w:hAnsi="仿宋" w:eastAsia="仿宋" w:cstheme="minorEastAsia"/>
                <w:sz w:val="24"/>
              </w:rPr>
              <w:fldChar w:fldCharType="end"/>
            </w:r>
            <w:r>
              <w:rPr>
                <w:rFonts w:hint="eastAsia" w:ascii="仿宋" w:hAnsi="仿宋" w:eastAsia="仿宋" w:cstheme="minorEastAsia"/>
                <w:sz w:val="24"/>
              </w:rPr>
              <w:t>公开审判信息和强制执行案件信息，执行检务公开、司法行政信息公开等，得1分。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,19)</w:instrText>
            </w:r>
            <w:r>
              <w:rPr>
                <w:rFonts w:hint="eastAsia" w:ascii="仿宋" w:hAnsi="仿宋" w:eastAsia="仿宋" w:cstheme="minorEastAsia"/>
                <w:sz w:val="24"/>
              </w:rPr>
              <w:fldChar w:fldCharType="end"/>
            </w:r>
            <w:r>
              <w:rPr>
                <w:rFonts w:hint="eastAsia" w:ascii="仿宋" w:hAnsi="仿宋" w:eastAsia="仿宋" w:cstheme="minorEastAsia"/>
                <w:sz w:val="24"/>
              </w:rPr>
              <w:t>认定和归集共享司法领域“红黑名单”的，得2分。</w:t>
            </w:r>
          </w:p>
        </w:tc>
        <w:tc>
          <w:tcPr>
            <w:tcW w:w="3210" w:type="dxa"/>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1）律师、公证员、基层法律服务工作者、法律援助人员、司法鉴定人员，以上5类人群建立诚信档案的，每建1类，得0.15分；实施分级分类监管的，每实施1类，得0.15分；5类人群全建立诚信档案并实施分级分类监管的额外加0.3分。此项最高得1.8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（2）律师事务所、公证机构、基层法律服务所、司法鉴定机构，以上4类机构建立诚信档案的，每建1类，得0.15分；4类机构实施分级分类监管的，每实施1类，得0.15分。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（3）审判信息、强制执行案件信息、执行检务信息、司法行政信息以上四类信息，每公开1类，得0.25分。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（4）认定司法领域“红黑名单”的，得1分；归集共享司法领域“红黑名单”的，得1分。</w:t>
            </w:r>
          </w:p>
        </w:tc>
        <w:tc>
          <w:tcPr>
            <w:tcW w:w="1454" w:type="dxa"/>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市委政法委、市检察院、市中级法院、市司法局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2599" w:type="dxa"/>
            <w:gridSpan w:val="2"/>
            <w:vMerge w:val="restart"/>
            <w:vAlign w:val="center"/>
          </w:tcPr>
          <w:p>
            <w:pPr>
              <w:keepNext/>
              <w:adjustRightInd w:val="0"/>
              <w:snapToGrid w:val="0"/>
              <w:spacing w:line="300" w:lineRule="exact"/>
              <w:jc w:val="center"/>
              <w:rPr>
                <w:rFonts w:ascii="黑体" w:hAnsi="黑体" w:eastAsia="黑体" w:cstheme="minorEastAsia"/>
                <w:sz w:val="24"/>
              </w:rPr>
            </w:pPr>
            <w:r>
              <w:rPr>
                <w:rFonts w:hint="eastAsia" w:ascii="黑体" w:hAnsi="黑体" w:eastAsia="黑体" w:cstheme="minorEastAsia"/>
                <w:sz w:val="24"/>
              </w:rPr>
              <w:t>七、金融生态环境建设</w:t>
            </w:r>
          </w:p>
          <w:p>
            <w:pPr>
              <w:keepNext/>
              <w:adjustRightInd w:val="0"/>
              <w:snapToGrid w:val="0"/>
              <w:spacing w:line="300" w:lineRule="exact"/>
              <w:jc w:val="center"/>
              <w:rPr>
                <w:rFonts w:ascii="黑体" w:hAnsi="黑体" w:eastAsia="黑体" w:cstheme="minorEastAsia"/>
                <w:sz w:val="24"/>
              </w:rPr>
            </w:pPr>
            <w:r>
              <w:rPr>
                <w:rFonts w:hint="eastAsia" w:ascii="黑体" w:hAnsi="黑体" w:eastAsia="黑体" w:cstheme="minorEastAsia"/>
                <w:sz w:val="24"/>
              </w:rPr>
              <w:t>（由人民银行评分）</w:t>
            </w:r>
          </w:p>
        </w:tc>
        <w:tc>
          <w:tcPr>
            <w:tcW w:w="454" w:type="dxa"/>
            <w:vMerge w:val="restart"/>
            <w:vAlign w:val="center"/>
          </w:tcPr>
          <w:p>
            <w:pPr>
              <w:keepNext/>
              <w:adjustRightInd w:val="0"/>
              <w:snapToGrid w:val="0"/>
              <w:spacing w:line="300" w:lineRule="exact"/>
              <w:jc w:val="center"/>
              <w:rPr>
                <w:rFonts w:ascii="仿宋" w:hAnsi="仿宋" w:eastAsia="仿宋" w:cstheme="minorEastAsia"/>
                <w:szCs w:val="21"/>
              </w:rPr>
            </w:pPr>
            <w:r>
              <w:rPr>
                <w:rFonts w:hint="eastAsia" w:ascii="仿宋" w:hAnsi="仿宋" w:eastAsia="仿宋" w:cstheme="minorEastAsia"/>
                <w:szCs w:val="21"/>
              </w:rPr>
              <w:t>10</w:t>
            </w:r>
          </w:p>
        </w:tc>
        <w:tc>
          <w:tcPr>
            <w:tcW w:w="800" w:type="dxa"/>
            <w:vAlign w:val="center"/>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信用环境（4分）</w:t>
            </w:r>
          </w:p>
        </w:tc>
        <w:tc>
          <w:tcPr>
            <w:tcW w:w="8580" w:type="dxa"/>
            <w:gridSpan w:val="2"/>
          </w:tcPr>
          <w:p>
            <w:pPr>
              <w:keepNext/>
              <w:adjustRightInd w:val="0"/>
              <w:snapToGrid w:val="0"/>
              <w:spacing w:line="300" w:lineRule="exact"/>
              <w:jc w:val="left"/>
              <w:rPr>
                <w:rFonts w:ascii="仿宋" w:hAnsi="仿宋" w:eastAsia="仿宋" w:cstheme="minorEastAsia"/>
                <w:bCs/>
                <w:sz w:val="24"/>
              </w:rPr>
            </w:pPr>
            <w:r>
              <w:rPr>
                <w:rFonts w:hint="eastAsia" w:ascii="仿宋" w:hAnsi="仿宋" w:eastAsia="仿宋" w:cstheme="minorEastAsia"/>
                <w:bCs/>
                <w:sz w:val="24"/>
              </w:rPr>
              <w:t>【地区不良贷款率低，无重大区域金融风险】</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bCs/>
                <w:sz w:val="24"/>
              </w:rPr>
              <w:t>地区不良贷款率。</w:t>
            </w:r>
            <w:r>
              <w:rPr>
                <w:rFonts w:hint="eastAsia" w:ascii="仿宋" w:hAnsi="仿宋" w:eastAsia="仿宋" w:cstheme="minorEastAsia"/>
                <w:sz w:val="24"/>
              </w:rPr>
              <w:t>地区不良贷款率可从银监部门取数或通过银行机构统计。本项得分为0、2和连续打分三种情形：如果地区不良贷款率 ＜ 2%,得2分；如果2% ≤ 地区不良贷款率 ＜ 5%,得分 = 2/ 3 * (5 -地区不良贷款率*100)；如果地区不良贷款率 ≥ 5%,得0分。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bCs/>
                <w:sz w:val="24"/>
              </w:rPr>
              <w:t>重大区域金融风险。</w:t>
            </w:r>
            <w:r>
              <w:rPr>
                <w:rFonts w:hint="eastAsia" w:ascii="仿宋" w:hAnsi="仿宋" w:eastAsia="仿宋" w:cstheme="minorEastAsia"/>
                <w:sz w:val="24"/>
              </w:rPr>
              <w:t>出现重大区域金融风险，引发较大负面影响和广泛社会关注的。如：较为严重的地方政府债务风险、区域担保圈风险、产能过剩行业债务风险等，存在较大负面影响和广泛社会关注，不能得到及时遏制，发生多米诺骨牌效应，迅速转移、传染和扩散。本项得分为0、2两档：如果为“是”，得0分；如果为“否”，得2分。</w:t>
            </w:r>
          </w:p>
        </w:tc>
        <w:tc>
          <w:tcPr>
            <w:tcW w:w="1763" w:type="dxa"/>
            <w:gridSpan w:val="2"/>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人行漯河中心支行负责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2599" w:type="dxa"/>
            <w:gridSpan w:val="2"/>
            <w:vMerge w:val="continue"/>
            <w:vAlign w:val="center"/>
          </w:tcPr>
          <w:p>
            <w:pPr>
              <w:keepNext/>
              <w:adjustRightInd w:val="0"/>
              <w:snapToGrid w:val="0"/>
              <w:spacing w:line="300" w:lineRule="exact"/>
              <w:jc w:val="center"/>
              <w:rPr>
                <w:rFonts w:ascii="黑体" w:hAnsi="黑体" w:eastAsia="黑体" w:cstheme="minorEastAsia"/>
                <w:sz w:val="24"/>
              </w:rPr>
            </w:pPr>
          </w:p>
        </w:tc>
        <w:tc>
          <w:tcPr>
            <w:tcW w:w="454" w:type="dxa"/>
            <w:vMerge w:val="continue"/>
            <w:vAlign w:val="center"/>
          </w:tcPr>
          <w:p>
            <w:pPr>
              <w:keepNext/>
              <w:adjustRightInd w:val="0"/>
              <w:snapToGrid w:val="0"/>
              <w:spacing w:line="300" w:lineRule="exact"/>
              <w:jc w:val="center"/>
              <w:rPr>
                <w:rFonts w:ascii="仿宋" w:hAnsi="仿宋" w:eastAsia="仿宋" w:cstheme="minorEastAsia"/>
                <w:sz w:val="24"/>
              </w:rPr>
            </w:pPr>
          </w:p>
        </w:tc>
        <w:tc>
          <w:tcPr>
            <w:tcW w:w="800" w:type="dxa"/>
            <w:vAlign w:val="center"/>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法治环境（3分）</w:t>
            </w:r>
          </w:p>
        </w:tc>
        <w:tc>
          <w:tcPr>
            <w:tcW w:w="8580" w:type="dxa"/>
            <w:gridSpan w:val="2"/>
          </w:tcPr>
          <w:p>
            <w:pPr>
              <w:keepNext/>
              <w:adjustRightInd w:val="0"/>
              <w:snapToGrid w:val="0"/>
              <w:spacing w:line="300" w:lineRule="exact"/>
              <w:jc w:val="left"/>
              <w:rPr>
                <w:rFonts w:ascii="仿宋" w:hAnsi="仿宋" w:eastAsia="仿宋" w:cstheme="minorEastAsia"/>
                <w:bCs/>
                <w:sz w:val="24"/>
              </w:rPr>
            </w:pPr>
            <w:r>
              <w:rPr>
                <w:rFonts w:hint="eastAsia" w:ascii="仿宋" w:hAnsi="仿宋" w:eastAsia="仿宋" w:cstheme="minorEastAsia"/>
                <w:bCs/>
                <w:sz w:val="24"/>
              </w:rPr>
              <w:t>【金融案件执结率高，金融案件标的额兑现率高，非法集资发案数增长率低】</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bCs/>
                <w:sz w:val="24"/>
              </w:rPr>
              <w:t>金融案件执结率。</w:t>
            </w:r>
            <w:r>
              <w:rPr>
                <w:rFonts w:hint="eastAsia" w:ascii="仿宋" w:hAnsi="仿宋" w:eastAsia="仿宋" w:cstheme="minorEastAsia"/>
                <w:sz w:val="24"/>
              </w:rPr>
              <w:t>金融案件执结率=报告期银行业机构债权案件执结数/（上期银行业机构债权案件未执结数+报告期银行业机构债权案件收案数）。可从法院取数，如存在困难也可以通过银行机构统计。本项得分为0、1和连续打分三种情形：如果金融案件执结率 ≥ 80%,得1分；如果 0% ＜ 金融案件执结率 ＜ 80%,得分 = 1 / 80 * (金融案件执结率*100- 0)；如果金融案件执结率 = 0%，得0分。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bCs/>
                <w:sz w:val="24"/>
              </w:rPr>
              <w:t>·金融案件标的额兑现率。</w:t>
            </w:r>
            <w:r>
              <w:rPr>
                <w:rFonts w:hint="eastAsia" w:ascii="仿宋" w:hAnsi="仿宋" w:eastAsia="仿宋" w:cstheme="minorEastAsia"/>
                <w:sz w:val="24"/>
              </w:rPr>
              <w:t>金融案件标的额兑现率=报告期内银行业机构胜诉债权案件受偿金额/报告期银行业机构胜诉债权案件判决标的总额。可从法院取数，如存在困难也可以通过银行机构统计。本项得分为0、1和连续打分三种情形：如果金融案件标的额兑现率≥70%,得1分；如果0%＜金融案件标的额兑现率＜70%,得分 = 1 / 70 * (金融案件标的额兑现率*100- 0)；如果金融案件标的额兑现率=0%，得0分。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bCs/>
                <w:sz w:val="24"/>
              </w:rPr>
              <w:t>·非法集资发案数增长率。</w:t>
            </w:r>
            <w:r>
              <w:rPr>
                <w:rFonts w:hint="eastAsia" w:ascii="仿宋" w:hAnsi="仿宋" w:eastAsia="仿宋" w:cstheme="minorEastAsia"/>
                <w:sz w:val="24"/>
              </w:rPr>
              <w:t>非法集资发案数增长率=（报告期非法集资发案数-上期非法集资发案数）/上期非法集资发案数，可从地方打击非法集资办公室（如金融办、公安、银监部门）取数。本项得分为0、1和连续打分三种情形：如果非法集资发案数增长率 ＜ 0%,得1分；如果 0% ≤ 非法集资发案数增长率＜ 50%,得分 = 1 / 50 * (50 -非法集资发案数增长率*100)；如果非法集资发案数增长率 ≥50%,得0分。</w:t>
            </w:r>
          </w:p>
        </w:tc>
        <w:tc>
          <w:tcPr>
            <w:tcW w:w="1763" w:type="dxa"/>
            <w:gridSpan w:val="2"/>
          </w:tcPr>
          <w:p>
            <w:pPr>
              <w:keepNext/>
              <w:adjustRightInd w:val="0"/>
              <w:snapToGrid w:val="0"/>
              <w:spacing w:line="300" w:lineRule="exact"/>
              <w:jc w:val="center"/>
              <w:rPr>
                <w:rFonts w:ascii="仿宋" w:hAnsi="仿宋" w:eastAsia="仿宋" w:cstheme="minorEastAsia"/>
                <w:bCs/>
                <w:sz w:val="24"/>
              </w:rPr>
            </w:pPr>
            <w:r>
              <w:rPr>
                <w:rFonts w:hint="eastAsia" w:ascii="仿宋" w:hAnsi="仿宋" w:eastAsia="仿宋" w:cstheme="minorEastAsia"/>
                <w:bCs/>
                <w:sz w:val="24"/>
              </w:rPr>
              <w:t>各县区政府（管委会），</w:t>
            </w:r>
          </w:p>
          <w:p>
            <w:pPr>
              <w:keepNext/>
              <w:adjustRightInd w:val="0"/>
              <w:snapToGrid w:val="0"/>
              <w:spacing w:line="300" w:lineRule="exact"/>
              <w:jc w:val="center"/>
              <w:rPr>
                <w:rFonts w:ascii="仿宋" w:hAnsi="仿宋" w:eastAsia="仿宋" w:cstheme="minorEastAsia"/>
                <w:bCs/>
                <w:sz w:val="24"/>
              </w:rPr>
            </w:pPr>
            <w:r>
              <w:rPr>
                <w:rFonts w:hint="eastAsia" w:ascii="仿宋" w:hAnsi="仿宋" w:eastAsia="仿宋" w:cstheme="minorEastAsia"/>
                <w:bCs/>
                <w:sz w:val="24"/>
              </w:rPr>
              <w:t>市金融工作局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96" w:hRule="atLeast"/>
          <w:jc w:val="center"/>
        </w:trPr>
        <w:tc>
          <w:tcPr>
            <w:tcW w:w="2599" w:type="dxa"/>
            <w:gridSpan w:val="2"/>
            <w:vMerge w:val="continue"/>
          </w:tcPr>
          <w:p>
            <w:pPr>
              <w:keepNext/>
              <w:adjustRightInd w:val="0"/>
              <w:snapToGrid w:val="0"/>
              <w:spacing w:line="300" w:lineRule="exact"/>
              <w:jc w:val="left"/>
              <w:rPr>
                <w:rFonts w:ascii="黑体" w:hAnsi="黑体" w:eastAsia="黑体" w:cstheme="minorEastAsia"/>
                <w:sz w:val="24"/>
              </w:rPr>
            </w:pPr>
          </w:p>
        </w:tc>
        <w:tc>
          <w:tcPr>
            <w:tcW w:w="454" w:type="dxa"/>
            <w:vMerge w:val="continue"/>
          </w:tcPr>
          <w:p>
            <w:pPr>
              <w:keepNext/>
              <w:adjustRightInd w:val="0"/>
              <w:snapToGrid w:val="0"/>
              <w:spacing w:line="300" w:lineRule="exact"/>
              <w:jc w:val="left"/>
              <w:rPr>
                <w:rFonts w:ascii="仿宋" w:hAnsi="仿宋" w:eastAsia="仿宋" w:cstheme="minorEastAsia"/>
                <w:sz w:val="24"/>
              </w:rPr>
            </w:pPr>
          </w:p>
        </w:tc>
        <w:tc>
          <w:tcPr>
            <w:tcW w:w="800" w:type="dxa"/>
            <w:vAlign w:val="center"/>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政策环境（3分）</w:t>
            </w:r>
          </w:p>
        </w:tc>
        <w:tc>
          <w:tcPr>
            <w:tcW w:w="8580" w:type="dxa"/>
            <w:gridSpan w:val="2"/>
          </w:tcPr>
          <w:p>
            <w:pPr>
              <w:keepNext/>
              <w:adjustRightInd w:val="0"/>
              <w:snapToGrid w:val="0"/>
              <w:spacing w:line="300" w:lineRule="exact"/>
              <w:jc w:val="left"/>
              <w:rPr>
                <w:rFonts w:ascii="仿宋" w:hAnsi="仿宋" w:eastAsia="仿宋" w:cstheme="minorEastAsia"/>
                <w:bCs/>
                <w:sz w:val="24"/>
              </w:rPr>
            </w:pPr>
            <w:r>
              <w:rPr>
                <w:rFonts w:hint="eastAsia" w:ascii="仿宋" w:hAnsi="仿宋" w:eastAsia="仿宋" w:cstheme="minorEastAsia"/>
                <w:bCs/>
                <w:sz w:val="24"/>
              </w:rPr>
              <w:t>【对金融机构无行政干预，对具有融资功能的非金融机构有效管理水平高，防范和处置地方金融风险水平高】</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bCs/>
                <w:sz w:val="24"/>
              </w:rPr>
              <w:t>·地方政府是否对金融机构进行行政干预。</w:t>
            </w:r>
            <w:r>
              <w:rPr>
                <w:rFonts w:hint="eastAsia" w:ascii="仿宋" w:hAnsi="仿宋" w:eastAsia="仿宋" w:cstheme="minorEastAsia"/>
                <w:sz w:val="24"/>
              </w:rPr>
              <w:t>本项得分为0、1两档：如果以下任一条为“是”，得0分；如果均为“否”，得1分。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1.诱导和干预金融机构的日常经营；如：通过对部分金融机构高管人员的任免来影响地方法人金融机构的公司治理，继而对地方金融机构的日常经营施加影响；利用财政性存款、重大项目金融服务、财政性资金补贴、税收优惠等政府掌握的资源，对金融机构进行“诱导性”干预等。</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2.硬性规定金融机构贷款投放的规模；如：地方政府通过出台考核办法，对金融机构贷款业务量进行考核；为支持大企业发展，出面协调金融机构对其发放贷款；对明显出现经营困难的企业，强制要求不抽贷、不压贷等。</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3.限制资金在地区间的正常流动。如：存在限制银行机构地区间资金调剂现象的。</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bCs/>
                <w:sz w:val="24"/>
              </w:rPr>
              <w:t>·地方政府是否对具有融资功能的非金融机构进行有效管理。</w:t>
            </w:r>
            <w:r>
              <w:rPr>
                <w:rFonts w:hint="eastAsia" w:ascii="仿宋" w:hAnsi="仿宋" w:eastAsia="仿宋" w:cstheme="minorEastAsia"/>
                <w:sz w:val="24"/>
              </w:rPr>
              <w:t>本项得分为0、1两档：如果以下任一条为“是”，得0分；如果均为“否”，得1分。</w:t>
            </w:r>
          </w:p>
          <w:p>
            <w:pPr>
              <w:keepNext/>
              <w:numPr>
                <w:ilvl w:val="0"/>
                <w:numId w:val="2"/>
              </w:numPr>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对具有融资功能非金融机构的准入与日常管理不到位；如：对小贷公司、融资性担保公司、典当行等具有融资功能的非金融机构的审批和日常监管流于形式，未按制度要求进行现场或非现场检查的，对具有融资功能的非金融机构管理人员数量和素质不能满足监管要求。</w:t>
            </w:r>
          </w:p>
          <w:p>
            <w:pPr>
              <w:keepNext/>
              <w:numPr>
                <w:ilvl w:val="0"/>
                <w:numId w:val="2"/>
              </w:numPr>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未建立相关统计制度，不能及时准确统计共享相关数据和信息的；如：各行业主管部门未能建立小贷公司、融资性担保公司、典当行等经营情况统计制度，或建立相关制度但部门之间数据和信息不能实现有效共享。</w:t>
            </w:r>
          </w:p>
          <w:p>
            <w:pPr>
              <w:keepNext/>
              <w:numPr>
                <w:ilvl w:val="0"/>
                <w:numId w:val="2"/>
              </w:numPr>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管理不到位，发生重大风险事件的。如：小贷公司、融资性担保公司、典当行等发生非法集资、吸收或者变相吸收公众存款、发放高利贷等行为造成恶劣影响。</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bCs/>
                <w:sz w:val="24"/>
              </w:rPr>
              <w:t>·地方政府是否落实防范和处置地方金融风险的职责。</w:t>
            </w:r>
            <w:r>
              <w:rPr>
                <w:rFonts w:hint="eastAsia" w:ascii="仿宋" w:hAnsi="仿宋" w:eastAsia="仿宋" w:cstheme="minorEastAsia"/>
                <w:sz w:val="24"/>
              </w:rPr>
              <w:t>本项得分为0、1两档：如果以下任一条为“是”，得0分；如果均为“否”，得1分。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1.未能有效落实中央和地方金融监管职责分工；如：未出台地方金融监管工作制度，未明确具有融资功能非金融机构监管部门和监管职责。</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2.未建立健全地方金融风险应急处置机制；如：未建立突发金融风险应急预案，未明确相关部门职责；未定期开展突发金融风险应急演练。</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3.未能落实防范和处置地方金融风险的职责；如：未明确防范和处置地方金融风险具体或牵头部门，未能落实对农村信用社、小贷公司、融资性担保公司、典当行的金融风险处置责任。</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4.发生金融风险未能有效处置，造成恶劣影响的。如：未快速有效处置金融风险，导致金融风险扩散蔓延，发生挤兑存款、挤提保费等。</w:t>
            </w:r>
          </w:p>
        </w:tc>
        <w:tc>
          <w:tcPr>
            <w:tcW w:w="1763" w:type="dxa"/>
            <w:gridSpan w:val="2"/>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各县区政府（管委会），</w:t>
            </w:r>
          </w:p>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市金融工作局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jc w:val="center"/>
        </w:trPr>
        <w:tc>
          <w:tcPr>
            <w:tcW w:w="2599" w:type="dxa"/>
            <w:gridSpan w:val="2"/>
            <w:vMerge w:val="restart"/>
            <w:vAlign w:val="center"/>
          </w:tcPr>
          <w:p>
            <w:pPr>
              <w:keepNext/>
              <w:adjustRightInd w:val="0"/>
              <w:snapToGrid w:val="0"/>
              <w:spacing w:afterLines="25" w:line="300" w:lineRule="exact"/>
              <w:jc w:val="center"/>
              <w:rPr>
                <w:rFonts w:ascii="黑体" w:hAnsi="黑体" w:eastAsia="黑体" w:cstheme="minorEastAsia"/>
                <w:sz w:val="24"/>
              </w:rPr>
            </w:pPr>
            <w:r>
              <w:rPr>
                <w:rFonts w:hint="eastAsia" w:ascii="黑体" w:hAnsi="黑体" w:eastAsia="黑体" w:cstheme="minorEastAsia"/>
                <w:sz w:val="24"/>
              </w:rPr>
              <w:t>八、公共信用信息</w:t>
            </w:r>
          </w:p>
          <w:p>
            <w:pPr>
              <w:keepNext/>
              <w:adjustRightInd w:val="0"/>
              <w:snapToGrid w:val="0"/>
              <w:spacing w:afterLines="25" w:line="300" w:lineRule="exact"/>
              <w:jc w:val="center"/>
              <w:rPr>
                <w:rFonts w:ascii="黑体" w:hAnsi="黑体" w:eastAsia="黑体" w:cstheme="minorEastAsia"/>
                <w:sz w:val="24"/>
              </w:rPr>
            </w:pPr>
            <w:r>
              <w:rPr>
                <w:rFonts w:hint="eastAsia" w:ascii="黑体" w:hAnsi="黑体" w:eastAsia="黑体" w:cstheme="minorEastAsia"/>
                <w:sz w:val="24"/>
              </w:rPr>
              <w:t>共建共享</w:t>
            </w:r>
          </w:p>
        </w:tc>
        <w:tc>
          <w:tcPr>
            <w:tcW w:w="454" w:type="dxa"/>
            <w:vMerge w:val="restart"/>
            <w:vAlign w:val="center"/>
          </w:tcPr>
          <w:p>
            <w:pPr>
              <w:keepNext/>
              <w:adjustRightInd w:val="0"/>
              <w:snapToGrid w:val="0"/>
              <w:spacing w:afterLines="25" w:line="300" w:lineRule="exact"/>
              <w:jc w:val="center"/>
              <w:rPr>
                <w:rFonts w:ascii="仿宋" w:hAnsi="仿宋" w:eastAsia="仿宋" w:cstheme="minorEastAsia"/>
                <w:szCs w:val="21"/>
              </w:rPr>
            </w:pPr>
            <w:r>
              <w:rPr>
                <w:rFonts w:hint="eastAsia" w:ascii="仿宋" w:hAnsi="仿宋" w:eastAsia="仿宋" w:cstheme="minorEastAsia"/>
                <w:szCs w:val="21"/>
              </w:rPr>
              <w:t>17</w:t>
            </w:r>
          </w:p>
        </w:tc>
        <w:tc>
          <w:tcPr>
            <w:tcW w:w="800" w:type="dxa"/>
            <w:vAlign w:val="center"/>
          </w:tcPr>
          <w:p>
            <w:pPr>
              <w:keepNext/>
              <w:adjustRightInd w:val="0"/>
              <w:snapToGrid w:val="0"/>
              <w:spacing w:afterLines="25" w:line="300" w:lineRule="exact"/>
              <w:jc w:val="center"/>
              <w:rPr>
                <w:rFonts w:ascii="仿宋" w:hAnsi="仿宋" w:eastAsia="仿宋" w:cstheme="minorEastAsia"/>
                <w:sz w:val="24"/>
              </w:rPr>
            </w:pPr>
            <w:r>
              <w:rPr>
                <w:rFonts w:hint="eastAsia" w:ascii="仿宋" w:hAnsi="仿宋" w:eastAsia="仿宋" w:cstheme="minorEastAsia"/>
                <w:sz w:val="24"/>
              </w:rPr>
              <w:t>统一社会信用代码（2分）</w:t>
            </w:r>
          </w:p>
        </w:tc>
        <w:tc>
          <w:tcPr>
            <w:tcW w:w="5370" w:type="dxa"/>
            <w:tcBorders>
              <w:bottom w:val="single" w:color="auto" w:sz="4" w:space="0"/>
            </w:tcBorders>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【存量代码全转换，重错码率低】</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w:instrText>
            </w:r>
            <w:r>
              <w:rPr>
                <w:rFonts w:hint="eastAsia" w:ascii="仿宋" w:hAnsi="仿宋" w:eastAsia="仿宋" w:cstheme="minorEastAsia"/>
                <w:sz w:val="24"/>
              </w:rPr>
              <w:fldChar w:fldCharType="end"/>
            </w:r>
            <w:r>
              <w:rPr>
                <w:rFonts w:hint="eastAsia" w:ascii="仿宋" w:hAnsi="仿宋" w:eastAsia="仿宋" w:cstheme="minorEastAsia"/>
                <w:sz w:val="24"/>
              </w:rPr>
              <w:t>向所有存量法人和非法人组织换发统一社会信用代码（对个体工商户要求至少在信息系统内完成新旧代码映射），存量代码转换率为100%的得1分，每降低1%减0.2分。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,2)</w:instrText>
            </w:r>
            <w:r>
              <w:rPr>
                <w:rFonts w:hint="eastAsia" w:ascii="仿宋" w:hAnsi="仿宋" w:eastAsia="仿宋" w:cstheme="minorEastAsia"/>
                <w:sz w:val="24"/>
              </w:rPr>
              <w:fldChar w:fldCharType="end"/>
            </w:r>
            <w:r>
              <w:rPr>
                <w:rFonts w:hint="eastAsia" w:ascii="仿宋" w:hAnsi="仿宋" w:eastAsia="仿宋" w:cstheme="minorEastAsia"/>
                <w:sz w:val="24"/>
              </w:rPr>
              <w:t>重错码率为0的得1分，每增加0.01%减0.1分。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（由全国组织机构统一社会信用代码服务中心提供）</w:t>
            </w:r>
          </w:p>
        </w:tc>
        <w:tc>
          <w:tcPr>
            <w:tcW w:w="3210" w:type="dxa"/>
          </w:tcPr>
          <w:p>
            <w:pPr>
              <w:keepNext/>
              <w:adjustRightInd w:val="0"/>
              <w:snapToGrid w:val="0"/>
              <w:spacing w:afterLines="25" w:line="300" w:lineRule="exact"/>
              <w:jc w:val="left"/>
              <w:rPr>
                <w:rFonts w:ascii="仿宋" w:hAnsi="仿宋" w:eastAsia="仿宋" w:cstheme="minorEastAsia"/>
                <w:sz w:val="24"/>
              </w:rPr>
            </w:pPr>
          </w:p>
        </w:tc>
        <w:tc>
          <w:tcPr>
            <w:tcW w:w="1763" w:type="dxa"/>
            <w:gridSpan w:val="2"/>
          </w:tcPr>
          <w:p>
            <w:pPr>
              <w:keepNext/>
              <w:adjustRightInd w:val="0"/>
              <w:snapToGrid w:val="0"/>
              <w:spacing w:afterLines="25" w:line="300" w:lineRule="exact"/>
              <w:jc w:val="center"/>
              <w:rPr>
                <w:rFonts w:ascii="仿宋" w:hAnsi="仿宋" w:eastAsia="仿宋" w:cstheme="minorEastAsia"/>
                <w:sz w:val="24"/>
              </w:rPr>
            </w:pPr>
            <w:r>
              <w:rPr>
                <w:rFonts w:hint="eastAsia" w:ascii="仿宋" w:hAnsi="仿宋" w:eastAsia="仿宋" w:cstheme="minorEastAsia"/>
                <w:sz w:val="24"/>
              </w:rPr>
              <w:t>市委编办、市市场监管局、市民政局分别负责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2599" w:type="dxa"/>
            <w:gridSpan w:val="2"/>
            <w:vMerge w:val="continue"/>
            <w:tcBorders>
              <w:bottom w:val="single" w:color="auto" w:sz="4" w:space="0"/>
            </w:tcBorders>
            <w:vAlign w:val="center"/>
          </w:tcPr>
          <w:p>
            <w:pPr>
              <w:keepNext/>
              <w:adjustRightInd w:val="0"/>
              <w:snapToGrid w:val="0"/>
              <w:spacing w:afterLines="25" w:line="300" w:lineRule="exact"/>
              <w:jc w:val="center"/>
              <w:rPr>
                <w:rFonts w:ascii="黑体" w:hAnsi="黑体" w:eastAsia="黑体" w:cstheme="minorEastAsia"/>
                <w:sz w:val="24"/>
              </w:rPr>
            </w:pPr>
          </w:p>
        </w:tc>
        <w:tc>
          <w:tcPr>
            <w:tcW w:w="454" w:type="dxa"/>
            <w:vMerge w:val="continue"/>
            <w:tcBorders>
              <w:bottom w:val="single" w:color="auto" w:sz="4" w:space="0"/>
            </w:tcBorders>
            <w:vAlign w:val="center"/>
          </w:tcPr>
          <w:p>
            <w:pPr>
              <w:keepNext/>
              <w:adjustRightInd w:val="0"/>
              <w:snapToGrid w:val="0"/>
              <w:spacing w:afterLines="25" w:line="300" w:lineRule="exact"/>
              <w:jc w:val="center"/>
              <w:rPr>
                <w:rFonts w:ascii="仿宋" w:hAnsi="仿宋" w:eastAsia="仿宋" w:cstheme="minorEastAsia"/>
                <w:sz w:val="24"/>
              </w:rPr>
            </w:pPr>
          </w:p>
        </w:tc>
        <w:tc>
          <w:tcPr>
            <w:tcW w:w="800" w:type="dxa"/>
            <w:tcBorders>
              <w:bottom w:val="single" w:color="auto" w:sz="4" w:space="0"/>
            </w:tcBorders>
            <w:vAlign w:val="center"/>
          </w:tcPr>
          <w:p>
            <w:pPr>
              <w:keepNext/>
              <w:adjustRightInd w:val="0"/>
              <w:snapToGrid w:val="0"/>
              <w:spacing w:afterLines="25" w:line="300" w:lineRule="exact"/>
              <w:jc w:val="center"/>
              <w:rPr>
                <w:rFonts w:ascii="仿宋" w:hAnsi="仿宋" w:eastAsia="仿宋" w:cstheme="minorEastAsia"/>
                <w:sz w:val="24"/>
              </w:rPr>
            </w:pPr>
            <w:r>
              <w:rPr>
                <w:rFonts w:hint="eastAsia" w:ascii="仿宋" w:hAnsi="仿宋" w:eastAsia="仿宋" w:cstheme="minorEastAsia"/>
                <w:sz w:val="24"/>
              </w:rPr>
              <w:t>信息归集共享和公开（15分）</w:t>
            </w:r>
          </w:p>
        </w:tc>
        <w:tc>
          <w:tcPr>
            <w:tcW w:w="5370" w:type="dxa"/>
            <w:tcBorders>
              <w:bottom w:val="single" w:color="auto" w:sz="4" w:space="0"/>
            </w:tcBorders>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【政务大厅全接入，信息共享全覆盖，许可处罚全上报，网站信息常更新】</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,4)</w:instrText>
            </w:r>
            <w:r>
              <w:rPr>
                <w:rFonts w:hint="eastAsia" w:ascii="仿宋" w:hAnsi="仿宋" w:eastAsia="仿宋" w:cstheme="minorEastAsia"/>
                <w:sz w:val="24"/>
              </w:rPr>
              <w:fldChar w:fldCharType="end"/>
            </w:r>
            <w:r>
              <w:rPr>
                <w:rFonts w:hint="eastAsia" w:ascii="仿宋" w:hAnsi="仿宋" w:eastAsia="仿宋" w:cstheme="minorEastAsia"/>
                <w:sz w:val="24"/>
              </w:rPr>
              <w:t>与国家平台联合奖惩系统对接，实现对全量红黑名单信息的实时访问，并嵌入政务服务大厅或相关业务信息系统，辖区内政务服务大厅100%接入信用信息共享平台和信用门户网站的计3分，每增加1个未接入的大厅减1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,13)</w:instrText>
            </w:r>
            <w:r>
              <w:rPr>
                <w:rFonts w:hint="eastAsia" w:ascii="仿宋" w:hAnsi="仿宋" w:eastAsia="仿宋" w:cstheme="minorEastAsia"/>
                <w:sz w:val="24"/>
              </w:rPr>
              <w:fldChar w:fldCharType="end"/>
            </w:r>
            <w:r>
              <w:rPr>
                <w:rFonts w:hint="eastAsia" w:ascii="仿宋" w:hAnsi="仿宋" w:eastAsia="仿宋" w:cstheme="minorEastAsia"/>
                <w:sz w:val="24"/>
              </w:rPr>
              <w:t>市级司法、行政部门和水电气热通信等公用企业事业单位100%联通信用信息共享平台并归集共享信息的计4分，每增加1个未联通并归集共享信息的单位减0.5分。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,5)</w:instrText>
            </w:r>
            <w:r>
              <w:rPr>
                <w:rFonts w:hint="eastAsia" w:ascii="仿宋" w:hAnsi="仿宋" w:eastAsia="仿宋" w:cstheme="minorEastAsia"/>
                <w:sz w:val="24"/>
              </w:rPr>
              <w:fldChar w:fldCharType="end"/>
            </w:r>
            <w:r>
              <w:rPr>
                <w:rFonts w:hint="eastAsia" w:ascii="仿宋" w:hAnsi="仿宋" w:eastAsia="仿宋" w:cstheme="minorEastAsia"/>
                <w:sz w:val="24"/>
              </w:rPr>
              <w:t>行政许可、行政处罚信息100%上报至“信用中国”网站公示计2分，公示率每降低1%减0.2分。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,14)</w:instrText>
            </w:r>
            <w:r>
              <w:rPr>
                <w:rFonts w:hint="eastAsia" w:ascii="仿宋" w:hAnsi="仿宋" w:eastAsia="仿宋" w:cstheme="minorEastAsia"/>
                <w:sz w:val="24"/>
              </w:rPr>
              <w:fldChar w:fldCharType="end"/>
            </w:r>
            <w:r>
              <w:rPr>
                <w:rFonts w:hint="eastAsia" w:ascii="仿宋" w:hAnsi="仿宋" w:eastAsia="仿宋" w:cstheme="minorEastAsia"/>
                <w:sz w:val="24"/>
              </w:rPr>
              <w:t>信用门户网站公示信息量根据公示的法人和非法人组织户均信息条数m计算，计分公式为0.5m，最高得2分。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,14)</w:instrText>
            </w:r>
            <w:r>
              <w:rPr>
                <w:rFonts w:hint="eastAsia" w:ascii="仿宋" w:hAnsi="仿宋" w:eastAsia="仿宋" w:cstheme="minorEastAsia"/>
                <w:sz w:val="24"/>
              </w:rPr>
              <w:fldChar w:fldCharType="end"/>
            </w:r>
            <w:r>
              <w:rPr>
                <w:rFonts w:hint="eastAsia" w:ascii="仿宋" w:hAnsi="仿宋" w:eastAsia="仿宋" w:cstheme="minorEastAsia"/>
                <w:sz w:val="24"/>
              </w:rPr>
              <w:t>信用门户网站活跃度根据城市户籍人口日人均点击量n计算，计分公式为100n，最高得2分。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·根据市级（含所辖区、县）政府出资产业投资基金在全国政府出资产业投资基金信用信息登记系统进行信用信息登记和绩效评价的情况酌情计分，最高得2分。</w:t>
            </w:r>
          </w:p>
        </w:tc>
        <w:tc>
          <w:tcPr>
            <w:tcW w:w="3210" w:type="dxa"/>
            <w:tcBorders>
              <w:bottom w:val="single" w:color="auto" w:sz="4" w:space="0"/>
            </w:tcBorders>
          </w:tcPr>
          <w:p>
            <w:pPr>
              <w:keepNext/>
              <w:adjustRightInd w:val="0"/>
              <w:snapToGrid w:val="0"/>
              <w:spacing w:afterLines="25" w:line="300" w:lineRule="exact"/>
              <w:jc w:val="left"/>
              <w:rPr>
                <w:rFonts w:ascii="仿宋" w:hAnsi="仿宋" w:eastAsia="仿宋" w:cstheme="minorEastAsia"/>
                <w:sz w:val="24"/>
              </w:rPr>
            </w:pPr>
          </w:p>
        </w:tc>
        <w:tc>
          <w:tcPr>
            <w:tcW w:w="1763" w:type="dxa"/>
            <w:gridSpan w:val="2"/>
            <w:tcBorders>
              <w:bottom w:val="single" w:color="auto" w:sz="4" w:space="0"/>
            </w:tcBorders>
          </w:tcPr>
          <w:p>
            <w:pPr>
              <w:keepNext/>
              <w:adjustRightInd w:val="0"/>
              <w:snapToGrid w:val="0"/>
              <w:spacing w:afterLines="25" w:line="300" w:lineRule="exact"/>
              <w:jc w:val="center"/>
              <w:rPr>
                <w:rFonts w:ascii="仿宋" w:hAnsi="仿宋" w:eastAsia="仿宋" w:cstheme="minorEastAsia"/>
                <w:sz w:val="24"/>
              </w:rPr>
            </w:pPr>
            <w:r>
              <w:rPr>
                <w:rFonts w:hint="eastAsia" w:ascii="仿宋" w:hAnsi="仿宋" w:eastAsia="仿宋" w:cs="宋体"/>
                <w:color w:val="000000"/>
                <w:kern w:val="0"/>
                <w:sz w:val="24"/>
              </w:rPr>
              <w:t>市政务服务和大数据管理局、市发展改革委、市政府各部门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599" w:type="dxa"/>
            <w:gridSpan w:val="2"/>
            <w:tcBorders>
              <w:top w:val="single" w:color="auto" w:sz="4" w:space="0"/>
              <w:left w:val="single" w:color="auto" w:sz="4" w:space="0"/>
              <w:bottom w:val="single" w:color="auto" w:sz="4" w:space="0"/>
              <w:right w:val="single" w:color="auto" w:sz="4" w:space="0"/>
            </w:tcBorders>
            <w:vAlign w:val="center"/>
          </w:tcPr>
          <w:p>
            <w:pPr>
              <w:keepNext/>
              <w:tabs>
                <w:tab w:val="left" w:pos="1313"/>
                <w:tab w:val="left" w:pos="4493"/>
              </w:tabs>
              <w:adjustRightInd w:val="0"/>
              <w:snapToGrid w:val="0"/>
              <w:spacing w:afterLines="25" w:line="300" w:lineRule="exact"/>
              <w:jc w:val="center"/>
              <w:rPr>
                <w:rFonts w:ascii="黑体" w:hAnsi="黑体" w:eastAsia="黑体" w:cstheme="minorEastAsia"/>
                <w:sz w:val="24"/>
              </w:rPr>
            </w:pPr>
            <w:r>
              <w:rPr>
                <w:rFonts w:hint="eastAsia" w:ascii="黑体" w:hAnsi="黑体" w:eastAsia="黑体" w:cstheme="minorEastAsia"/>
                <w:sz w:val="24"/>
              </w:rPr>
              <w:t>九、公共信用信息和产品应用</w:t>
            </w:r>
          </w:p>
        </w:tc>
        <w:tc>
          <w:tcPr>
            <w:tcW w:w="454" w:type="dxa"/>
            <w:tcBorders>
              <w:top w:val="single" w:color="auto" w:sz="4" w:space="0"/>
              <w:left w:val="single" w:color="auto" w:sz="4" w:space="0"/>
              <w:bottom w:val="single" w:color="auto" w:sz="4" w:space="0"/>
              <w:right w:val="single" w:color="auto" w:sz="4" w:space="0"/>
            </w:tcBorders>
            <w:vAlign w:val="center"/>
          </w:tcPr>
          <w:p>
            <w:pPr>
              <w:keepNext/>
              <w:adjustRightInd w:val="0"/>
              <w:snapToGrid w:val="0"/>
              <w:spacing w:afterLines="25" w:line="300" w:lineRule="exact"/>
              <w:jc w:val="center"/>
              <w:rPr>
                <w:rFonts w:ascii="仿宋" w:hAnsi="仿宋" w:eastAsia="仿宋" w:cstheme="minorEastAsia"/>
                <w:color w:val="000000"/>
                <w:szCs w:val="21"/>
              </w:rPr>
            </w:pPr>
            <w:r>
              <w:rPr>
                <w:rFonts w:hint="eastAsia" w:ascii="仿宋" w:hAnsi="仿宋" w:eastAsia="仿宋" w:cstheme="minorEastAsia"/>
                <w:color w:val="000000"/>
                <w:szCs w:val="21"/>
              </w:rPr>
              <w:t>14</w:t>
            </w:r>
          </w:p>
        </w:tc>
        <w:tc>
          <w:tcPr>
            <w:tcW w:w="800" w:type="dxa"/>
            <w:tcBorders>
              <w:top w:val="single" w:color="auto" w:sz="4" w:space="0"/>
              <w:left w:val="single" w:color="auto" w:sz="4" w:space="0"/>
              <w:bottom w:val="single" w:color="auto" w:sz="4" w:space="0"/>
              <w:right w:val="single" w:color="auto" w:sz="4" w:space="0"/>
            </w:tcBorders>
            <w:vAlign w:val="center"/>
          </w:tcPr>
          <w:p>
            <w:pPr>
              <w:keepNext/>
              <w:adjustRightInd w:val="0"/>
              <w:snapToGrid w:val="0"/>
              <w:spacing w:afterLines="25" w:line="300" w:lineRule="exact"/>
              <w:jc w:val="center"/>
              <w:rPr>
                <w:rFonts w:ascii="仿宋" w:hAnsi="仿宋" w:eastAsia="仿宋" w:cstheme="minorEastAsia"/>
                <w:color w:val="000000"/>
                <w:sz w:val="24"/>
              </w:rPr>
            </w:pPr>
            <w:r>
              <w:rPr>
                <w:rFonts w:hint="eastAsia" w:ascii="仿宋" w:hAnsi="仿宋" w:eastAsia="仿宋" w:cstheme="minorEastAsia"/>
                <w:color w:val="000000"/>
                <w:sz w:val="24"/>
              </w:rPr>
              <w:t>开展“互联网+信用+民生”、“信易+”项目应用</w:t>
            </w:r>
          </w:p>
        </w:tc>
        <w:tc>
          <w:tcPr>
            <w:tcW w:w="5370" w:type="dxa"/>
            <w:tcBorders>
              <w:top w:val="single" w:color="auto" w:sz="4" w:space="0"/>
              <w:left w:val="single" w:color="auto" w:sz="4" w:space="0"/>
              <w:bottom w:val="single" w:color="auto" w:sz="4" w:space="0"/>
              <w:right w:val="single" w:color="auto" w:sz="4" w:space="0"/>
            </w:tcBorders>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【人人都有信用分，信用服务广覆盖，便企惠民见实效】</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,17)</w:instrText>
            </w:r>
            <w:r>
              <w:rPr>
                <w:rFonts w:hint="eastAsia" w:ascii="仿宋" w:hAnsi="仿宋" w:eastAsia="仿宋" w:cstheme="minorEastAsia"/>
                <w:sz w:val="24"/>
              </w:rPr>
              <w:fldChar w:fldCharType="end"/>
            </w:r>
            <w:r>
              <w:rPr>
                <w:rFonts w:hint="eastAsia" w:ascii="仿宋" w:hAnsi="仿宋" w:eastAsia="仿宋" w:cstheme="minorEastAsia"/>
                <w:sz w:val="24"/>
              </w:rPr>
              <w:t>开展市民信用分评价且超过50%的城市户籍人口拥有个人诚信分，得1.5分，在此基础上每多10%，加0.5分，最高得4分。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,18)</w:instrText>
            </w:r>
            <w:r>
              <w:rPr>
                <w:rFonts w:hint="eastAsia" w:ascii="仿宋" w:hAnsi="仿宋" w:eastAsia="仿宋" w:cstheme="minorEastAsia"/>
                <w:sz w:val="24"/>
              </w:rPr>
              <w:fldChar w:fldCharType="end"/>
            </w:r>
            <w:r>
              <w:rPr>
                <w:rFonts w:hint="eastAsia" w:ascii="仿宋" w:hAnsi="仿宋" w:eastAsia="仿宋" w:cstheme="minorEastAsia"/>
                <w:sz w:val="24"/>
              </w:rPr>
              <w:t>对个人和企业提供</w:t>
            </w:r>
            <w:r>
              <w:rPr>
                <w:rFonts w:hint="eastAsia" w:ascii="仿宋" w:hAnsi="仿宋" w:eastAsia="仿宋" w:cstheme="minorEastAsia"/>
                <w:color w:val="000000"/>
                <w:sz w:val="24"/>
              </w:rPr>
              <w:t>“互联网+信用+教育”、“互联网+信用+医疗”、“互联网+信用+养老”以及</w:t>
            </w:r>
            <w:r>
              <w:rPr>
                <w:rFonts w:hint="eastAsia" w:ascii="仿宋" w:hAnsi="仿宋" w:eastAsia="仿宋" w:cstheme="minorEastAsia"/>
                <w:sz w:val="24"/>
              </w:rPr>
              <w:t>“信易贷”、“信易批”、“信易租”、“信易游”、“信易行”等创新服务，每一个领域实质性开展工作并形成案例得0.3分，最高得6分。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,18)</w:instrText>
            </w:r>
            <w:r>
              <w:rPr>
                <w:rFonts w:hint="eastAsia" w:ascii="仿宋" w:hAnsi="仿宋" w:eastAsia="仿宋" w:cstheme="minorEastAsia"/>
                <w:sz w:val="24"/>
              </w:rPr>
              <w:fldChar w:fldCharType="end"/>
            </w:r>
            <w:r>
              <w:rPr>
                <w:rFonts w:hint="eastAsia" w:ascii="仿宋" w:hAnsi="仿宋" w:eastAsia="仿宋" w:cstheme="minorEastAsia"/>
                <w:sz w:val="24"/>
              </w:rPr>
              <w:t xml:space="preserve"> “信易批”开展情况根据已经实施容缺受理的部门数量计分，计分公式为已经实施容缺受理的部门数量/具有行政审批权力的部门总量*2，最高得2分。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,18)</w:instrText>
            </w:r>
            <w:r>
              <w:rPr>
                <w:rFonts w:hint="eastAsia" w:ascii="仿宋" w:hAnsi="仿宋" w:eastAsia="仿宋" w:cstheme="minorEastAsia"/>
                <w:sz w:val="24"/>
              </w:rPr>
              <w:fldChar w:fldCharType="end"/>
            </w:r>
            <w:r>
              <w:rPr>
                <w:rFonts w:hint="eastAsia" w:ascii="仿宋" w:hAnsi="仿宋" w:eastAsia="仿宋" w:cstheme="minorEastAsia"/>
                <w:sz w:val="24"/>
              </w:rPr>
              <w:t xml:space="preserve"> “信易贷”开展情况根据“信易贷”放款金额计分，计分公式为“信易贷”放款金额/在运营市场主体数*0.002%，最高得2分。</w:t>
            </w:r>
          </w:p>
        </w:tc>
        <w:tc>
          <w:tcPr>
            <w:tcW w:w="3210" w:type="dxa"/>
            <w:tcBorders>
              <w:top w:val="single" w:color="auto" w:sz="4" w:space="0"/>
              <w:left w:val="single" w:color="auto" w:sz="4" w:space="0"/>
              <w:bottom w:val="single" w:color="auto" w:sz="4" w:space="0"/>
              <w:right w:val="single" w:color="auto" w:sz="4" w:space="0"/>
            </w:tcBorders>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1）诚信分：使用公共信用信息对城市户籍人口开展个人信用评价，有个人诚信分或在信用信息共享平台有个人信用评价结果（提供截至2019年3月15日城市户籍人口总数、拥有个人诚信分或个人信用评价结果的户籍人口数量及其相关证明材料）。</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（2）信用服务：该领域参考公共信用信息为守信主体提供优惠便利等创新服务，实质性开展工作并形成案例（提供实质性开展工作的证明材料和每个领域至少5个案例）。</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（3）“信易批”：具有行政审批权力的部门已实施容缺受理（提供截至2019年3月15日具有行政审批权力的部门总量和已经实施容缺受理的部门数量以及各部门实施容缺受理的证明材料）。</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（4）“信易贷”：金融机构放款参考企业的公共信用信息为守信主体提供更优惠的</w:t>
            </w:r>
            <w:bookmarkStart w:id="0" w:name="_GoBack"/>
            <w:bookmarkEnd w:id="0"/>
            <w:r>
              <w:rPr>
                <w:rFonts w:hint="eastAsia" w:ascii="仿宋" w:hAnsi="仿宋" w:eastAsia="仿宋" w:cstheme="minorEastAsia"/>
                <w:sz w:val="24"/>
              </w:rPr>
              <w:t>贷款利率、更便捷的贷款审批通道等（提供截至2019年3月15日全市金融机构“信易贷”放款总金额和在运营市场主体总数及其相关证明材料）。</w:t>
            </w:r>
          </w:p>
        </w:tc>
        <w:tc>
          <w:tcPr>
            <w:tcW w:w="1763" w:type="dxa"/>
            <w:gridSpan w:val="2"/>
            <w:tcBorders>
              <w:top w:val="single" w:color="auto" w:sz="4" w:space="0"/>
              <w:left w:val="single" w:color="auto" w:sz="4" w:space="0"/>
              <w:bottom w:val="single" w:color="auto" w:sz="4" w:space="0"/>
              <w:right w:val="single" w:color="auto" w:sz="4" w:space="0"/>
            </w:tcBorders>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（1）市发展改革委负责。</w:t>
            </w:r>
          </w:p>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（2）（3）市政府各部门负责。</w:t>
            </w:r>
          </w:p>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（4）市金融工作局、人行漯河中心支行负责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599" w:type="dxa"/>
            <w:gridSpan w:val="2"/>
            <w:tcBorders>
              <w:top w:val="single" w:color="auto" w:sz="4" w:space="0"/>
            </w:tcBorders>
            <w:vAlign w:val="center"/>
          </w:tcPr>
          <w:p>
            <w:pPr>
              <w:keepNext/>
              <w:tabs>
                <w:tab w:val="left" w:pos="1313"/>
                <w:tab w:val="left" w:pos="4493"/>
              </w:tabs>
              <w:adjustRightInd w:val="0"/>
              <w:snapToGrid w:val="0"/>
              <w:spacing w:afterLines="25" w:line="300" w:lineRule="exact"/>
              <w:jc w:val="center"/>
              <w:rPr>
                <w:rFonts w:ascii="黑体" w:hAnsi="黑体" w:eastAsia="黑体" w:cstheme="minorEastAsia"/>
                <w:sz w:val="24"/>
              </w:rPr>
            </w:pPr>
            <w:r>
              <w:rPr>
                <w:rFonts w:hint="eastAsia" w:ascii="黑体" w:hAnsi="黑体" w:eastAsia="黑体" w:cstheme="minorEastAsia"/>
                <w:sz w:val="24"/>
              </w:rPr>
              <w:t>十、信用监管</w:t>
            </w:r>
          </w:p>
        </w:tc>
        <w:tc>
          <w:tcPr>
            <w:tcW w:w="454" w:type="dxa"/>
            <w:tcBorders>
              <w:top w:val="single" w:color="auto" w:sz="4" w:space="0"/>
            </w:tcBorders>
            <w:vAlign w:val="center"/>
          </w:tcPr>
          <w:p>
            <w:pPr>
              <w:keepNext/>
              <w:adjustRightInd w:val="0"/>
              <w:snapToGrid w:val="0"/>
              <w:spacing w:afterLines="25" w:line="300" w:lineRule="exact"/>
              <w:jc w:val="center"/>
              <w:rPr>
                <w:rFonts w:hint="eastAsia" w:ascii="仿宋" w:hAnsi="仿宋" w:eastAsia="仿宋" w:cstheme="minorEastAsia"/>
                <w:color w:val="000000"/>
                <w:sz w:val="21"/>
                <w:szCs w:val="21"/>
                <w:lang w:val="en-US" w:eastAsia="zh-CN"/>
              </w:rPr>
            </w:pPr>
            <w:r>
              <w:rPr>
                <w:rFonts w:hint="eastAsia" w:ascii="仿宋" w:hAnsi="仿宋" w:eastAsia="仿宋" w:cstheme="minorEastAsia"/>
                <w:color w:val="000000"/>
                <w:sz w:val="21"/>
                <w:szCs w:val="21"/>
                <w:lang w:val="en-US" w:eastAsia="zh-CN"/>
              </w:rPr>
              <w:t>22</w:t>
            </w:r>
          </w:p>
        </w:tc>
        <w:tc>
          <w:tcPr>
            <w:tcW w:w="800" w:type="dxa"/>
            <w:tcBorders>
              <w:top w:val="single" w:color="auto" w:sz="4" w:space="0"/>
            </w:tcBorders>
            <w:vAlign w:val="center"/>
          </w:tcPr>
          <w:p>
            <w:pPr>
              <w:keepNext/>
              <w:adjustRightInd w:val="0"/>
              <w:snapToGrid w:val="0"/>
              <w:spacing w:afterLines="25" w:line="300" w:lineRule="exact"/>
              <w:jc w:val="center"/>
              <w:rPr>
                <w:rFonts w:ascii="仿宋" w:hAnsi="仿宋" w:eastAsia="仿宋" w:cstheme="minorEastAsia"/>
                <w:color w:val="000000"/>
                <w:sz w:val="24"/>
              </w:rPr>
            </w:pPr>
            <w:r>
              <w:rPr>
                <w:rFonts w:hint="eastAsia" w:ascii="仿宋" w:hAnsi="仿宋" w:eastAsia="仿宋" w:cstheme="minorEastAsia"/>
                <w:color w:val="000000"/>
                <w:sz w:val="24"/>
              </w:rPr>
              <w:t>构建以信用为核心的新型监管机制</w:t>
            </w:r>
          </w:p>
        </w:tc>
        <w:tc>
          <w:tcPr>
            <w:tcW w:w="5370" w:type="dxa"/>
            <w:tcBorders>
              <w:top w:val="single" w:color="auto" w:sz="4" w:space="0"/>
            </w:tcBorders>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【有信用承诺，有联合奖惩，有信用修复，有信用报告】</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,9)</w:instrText>
            </w:r>
            <w:r>
              <w:rPr>
                <w:rFonts w:hint="eastAsia" w:ascii="仿宋" w:hAnsi="仿宋" w:eastAsia="仿宋" w:cstheme="minorEastAsia"/>
                <w:sz w:val="24"/>
              </w:rPr>
              <w:fldChar w:fldCharType="end"/>
            </w:r>
            <w:r>
              <w:rPr>
                <w:rFonts w:hint="eastAsia" w:ascii="仿宋" w:hAnsi="仿宋" w:eastAsia="仿宋" w:cstheme="minorEastAsia"/>
                <w:sz w:val="24"/>
              </w:rPr>
              <w:t>信用承诺工作根据承诺覆盖率计分，计分公式为（主动承诺型承诺+行业自律型承诺数量）/市场主体数+实行审批替代型承诺的审批事项数量/19+接受容缺受理型承诺的行政审批事项数量/全部行政审批事项+失信修复型承诺数量/在运营的黑名单主体数量，最高得4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,12)</w:instrText>
            </w:r>
            <w:r>
              <w:rPr>
                <w:rFonts w:hint="eastAsia" w:ascii="仿宋" w:hAnsi="仿宋" w:eastAsia="仿宋" w:cstheme="minorEastAsia"/>
                <w:sz w:val="24"/>
              </w:rPr>
              <w:fldChar w:fldCharType="end"/>
            </w:r>
            <w:r>
              <w:rPr>
                <w:rFonts w:hint="eastAsia" w:ascii="仿宋" w:hAnsi="仿宋" w:eastAsia="仿宋" w:cstheme="minorEastAsia"/>
                <w:sz w:val="24"/>
              </w:rPr>
              <w:t>失信行为穿透式监管根据单位失信记录与个人失信记录关联比例计分，计分公式为单位失信记录穿透关联至其主要负责人和直接责任人失信记录的数量/单位失信记录总数*2，最高得2分。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,11)</w:instrText>
            </w:r>
            <w:r>
              <w:rPr>
                <w:rFonts w:hint="eastAsia" w:ascii="仿宋" w:hAnsi="仿宋" w:eastAsia="仿宋" w:cstheme="minorEastAsia"/>
                <w:sz w:val="24"/>
              </w:rPr>
              <w:fldChar w:fldCharType="end"/>
            </w:r>
            <w:r>
              <w:rPr>
                <w:rFonts w:hint="eastAsia" w:ascii="仿宋" w:hAnsi="仿宋" w:eastAsia="仿宋" w:cstheme="minorEastAsia"/>
                <w:sz w:val="24"/>
              </w:rPr>
              <w:t>联合奖惩覆盖面根据实施联合奖惩领域的数量计分，计分公式为城市实施联合奖惩领域数量/40，最高得1分。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,16)</w:instrText>
            </w:r>
            <w:r>
              <w:rPr>
                <w:rFonts w:hint="eastAsia" w:ascii="仿宋" w:hAnsi="仿宋" w:eastAsia="仿宋" w:cstheme="minorEastAsia"/>
                <w:sz w:val="24"/>
              </w:rPr>
              <w:fldChar w:fldCharType="end"/>
            </w:r>
            <w:r>
              <w:rPr>
                <w:rFonts w:hint="eastAsia" w:ascii="仿宋" w:hAnsi="仿宋" w:eastAsia="仿宋" w:cstheme="minorEastAsia"/>
                <w:sz w:val="24"/>
              </w:rPr>
              <w:t>联合奖惩机制化程度根据嵌入信息系统和工作流程的比例计分，计分公式为将联合奖惩嵌入信息系统和工作流程的领域数量*0.1，最高得2分。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,15)</w:instrText>
            </w:r>
            <w:r>
              <w:rPr>
                <w:rFonts w:hint="eastAsia" w:ascii="仿宋" w:hAnsi="仿宋" w:eastAsia="仿宋" w:cstheme="minorEastAsia"/>
                <w:sz w:val="24"/>
              </w:rPr>
              <w:fldChar w:fldCharType="end"/>
            </w:r>
            <w:r>
              <w:rPr>
                <w:rFonts w:hint="eastAsia" w:ascii="仿宋" w:hAnsi="仿宋" w:eastAsia="仿宋" w:cstheme="minorEastAsia"/>
                <w:sz w:val="24"/>
              </w:rPr>
              <w:t>联合奖惩案例根据案例占比计分，计分公式为有效的联合奖惩案例数量/在运营红黑名单主体总量*5，最高为3分。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,7)</w:instrText>
            </w:r>
            <w:r>
              <w:rPr>
                <w:rFonts w:hint="eastAsia" w:ascii="仿宋" w:hAnsi="仿宋" w:eastAsia="仿宋" w:cstheme="minorEastAsia"/>
                <w:sz w:val="24"/>
              </w:rPr>
              <w:fldChar w:fldCharType="end"/>
            </w:r>
            <w:r>
              <w:rPr>
                <w:rFonts w:hint="eastAsia" w:ascii="仿宋" w:hAnsi="仿宋" w:eastAsia="仿宋" w:cstheme="minorEastAsia"/>
                <w:sz w:val="24"/>
              </w:rPr>
              <w:t>黑名单整改成效根据经整改后退出黑名单的比例计分，计分公式为经整改后退出的黑名单数量/在运营黑名单主体总量*5，最高得3分。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,8)</w:instrText>
            </w:r>
            <w:r>
              <w:rPr>
                <w:rFonts w:hint="eastAsia" w:ascii="仿宋" w:hAnsi="仿宋" w:eastAsia="仿宋" w:cstheme="minorEastAsia"/>
                <w:sz w:val="24"/>
              </w:rPr>
              <w:fldChar w:fldCharType="end"/>
            </w:r>
            <w:r>
              <w:rPr>
                <w:rFonts w:hint="eastAsia" w:ascii="仿宋" w:hAnsi="仿宋" w:eastAsia="仿宋" w:cstheme="minorEastAsia"/>
                <w:sz w:val="24"/>
              </w:rPr>
              <w:t>信用修复培训根据接受修复主体的比例计分，计分公式为接受修复培训的黑名单主体数量/在运营黑名单主体总量*2，最高得2分。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w:t>
            </w:r>
            <w:r>
              <w:rPr>
                <w:rFonts w:hint="eastAsia" w:ascii="仿宋" w:hAnsi="仿宋" w:eastAsia="仿宋" w:cstheme="minorEastAsia"/>
                <w:sz w:val="24"/>
              </w:rPr>
              <w:fldChar w:fldCharType="begin"/>
            </w:r>
            <w:r>
              <w:rPr>
                <w:rFonts w:hint="eastAsia" w:ascii="仿宋" w:hAnsi="仿宋" w:eastAsia="仿宋" w:cstheme="minorEastAsia"/>
                <w:sz w:val="24"/>
              </w:rPr>
              <w:instrText xml:space="preserve"> eq \o\ac(</w:instrText>
            </w:r>
            <w:r>
              <w:rPr>
                <w:rFonts w:hint="eastAsia" w:ascii="仿宋" w:hAnsi="仿宋" w:eastAsia="仿宋" w:cstheme="minorEastAsia"/>
                <w:position w:val="-4"/>
                <w:sz w:val="24"/>
              </w:rPr>
              <w:instrText xml:space="preserve">□</w:instrText>
            </w:r>
            <w:r>
              <w:rPr>
                <w:rFonts w:hint="eastAsia" w:ascii="仿宋" w:hAnsi="仿宋" w:eastAsia="仿宋" w:cstheme="minorEastAsia"/>
                <w:sz w:val="24"/>
              </w:rPr>
              <w:instrText xml:space="preserve">,6)</w:instrText>
            </w:r>
            <w:r>
              <w:rPr>
                <w:rFonts w:hint="eastAsia" w:ascii="仿宋" w:hAnsi="仿宋" w:eastAsia="仿宋" w:cstheme="minorEastAsia"/>
                <w:sz w:val="24"/>
              </w:rPr>
              <w:fldChar w:fldCharType="end"/>
            </w:r>
            <w:r>
              <w:rPr>
                <w:rFonts w:hint="eastAsia" w:ascii="仿宋" w:hAnsi="仿宋" w:eastAsia="仿宋" w:cstheme="minorEastAsia"/>
                <w:sz w:val="24"/>
              </w:rPr>
              <w:t>使用信用报告工作根据相关主体提交信用报告的比例计分，计分公式为提交信用报告的在运营黑名单主体及公共信用综合评价结果为“差”的市场主体数量/在运营黑名单主体及公共信用综合评价结果为“差”的市场主体总量*5，最高得5分。</w:t>
            </w:r>
          </w:p>
        </w:tc>
        <w:tc>
          <w:tcPr>
            <w:tcW w:w="3210" w:type="dxa"/>
            <w:tcBorders>
              <w:top w:val="single" w:color="auto" w:sz="4" w:space="0"/>
            </w:tcBorders>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1）（主动承诺型承诺+行业自律型承诺数量）/市场主体数中的市场主体数，指2018年12月15日—2019年3月15日产生的新增主体；在运营的黑名单主体数量，不包括经营异常名录主体、吊销执照主体和失联主体（抽查黑名单真实性，失联主体由地方上报数量，财金司后期抽查）。</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（2）实行审批替代型承诺的审批事项数量/19中的19指的是《国务院关于在全国推开“证照分离”改革的通知》（国发〔2018〕35号）明确的实行告知承诺的19个事项。</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（3）联合奖惩案例指由两个部门以上实施奖惩，且提供主体基本信息，实施奖惩的部门，实施效果等内容。</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（4）在运营黑名单主体总量，指截至到2018年12月15日的数量。</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（5）信用修复培训可采用线上培训、APP培训等多种方式。</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（6）信用报告指第三方出具的市场化信用报告，但不是债券评级报告。</w:t>
            </w:r>
          </w:p>
        </w:tc>
        <w:tc>
          <w:tcPr>
            <w:tcW w:w="1763" w:type="dxa"/>
            <w:gridSpan w:val="2"/>
            <w:tcBorders>
              <w:top w:val="single" w:color="auto" w:sz="4" w:space="0"/>
            </w:tcBorders>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市政府各部门，</w:t>
            </w:r>
            <w:r>
              <w:rPr>
                <w:rFonts w:hint="eastAsia" w:ascii="仿宋" w:hAnsi="仿宋" w:eastAsia="仿宋" w:cs="宋体"/>
                <w:color w:val="000000"/>
                <w:kern w:val="0"/>
                <w:sz w:val="24"/>
              </w:rPr>
              <w:t>各县区政府（管委会）</w:t>
            </w:r>
            <w:r>
              <w:rPr>
                <w:rFonts w:hint="eastAsia" w:ascii="仿宋" w:hAnsi="仿宋" w:eastAsia="仿宋" w:cstheme="minorEastAsia"/>
                <w:sz w:val="24"/>
              </w:rPr>
              <w:t>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99" w:type="dxa"/>
            <w:gridSpan w:val="2"/>
            <w:vMerge w:val="restart"/>
            <w:vAlign w:val="center"/>
          </w:tcPr>
          <w:p>
            <w:pPr>
              <w:keepNext/>
              <w:tabs>
                <w:tab w:val="left" w:pos="1313"/>
                <w:tab w:val="left" w:pos="4493"/>
              </w:tabs>
              <w:adjustRightInd w:val="0"/>
              <w:snapToGrid w:val="0"/>
              <w:spacing w:afterLines="25" w:line="300" w:lineRule="exact"/>
              <w:jc w:val="center"/>
              <w:rPr>
                <w:rFonts w:ascii="黑体" w:hAnsi="黑体" w:eastAsia="黑体" w:cstheme="minorEastAsia"/>
                <w:sz w:val="24"/>
              </w:rPr>
            </w:pPr>
            <w:r>
              <w:rPr>
                <w:rFonts w:hint="eastAsia" w:ascii="黑体" w:hAnsi="黑体" w:eastAsia="黑体" w:cstheme="minorEastAsia"/>
                <w:sz w:val="24"/>
              </w:rPr>
              <w:t>十一、工作保障和</w:t>
            </w:r>
          </w:p>
          <w:p>
            <w:pPr>
              <w:keepNext/>
              <w:tabs>
                <w:tab w:val="left" w:pos="1313"/>
                <w:tab w:val="left" w:pos="4493"/>
              </w:tabs>
              <w:adjustRightInd w:val="0"/>
              <w:snapToGrid w:val="0"/>
              <w:spacing w:afterLines="25" w:line="300" w:lineRule="exact"/>
              <w:jc w:val="center"/>
              <w:rPr>
                <w:rFonts w:ascii="黑体" w:hAnsi="黑体" w:eastAsia="黑体" w:cstheme="minorEastAsia"/>
                <w:sz w:val="24"/>
              </w:rPr>
            </w:pPr>
            <w:r>
              <w:rPr>
                <w:rFonts w:hint="eastAsia" w:ascii="黑体" w:hAnsi="黑体" w:eastAsia="黑体" w:cstheme="minorEastAsia"/>
                <w:sz w:val="24"/>
              </w:rPr>
              <w:t>推进落实措施</w:t>
            </w:r>
          </w:p>
        </w:tc>
        <w:tc>
          <w:tcPr>
            <w:tcW w:w="454" w:type="dxa"/>
            <w:vMerge w:val="restart"/>
            <w:vAlign w:val="center"/>
          </w:tcPr>
          <w:p>
            <w:pPr>
              <w:keepNext/>
              <w:adjustRightInd w:val="0"/>
              <w:snapToGrid w:val="0"/>
              <w:spacing w:afterLines="25" w:line="300" w:lineRule="exact"/>
              <w:jc w:val="center"/>
              <w:rPr>
                <w:rFonts w:ascii="仿宋" w:hAnsi="仿宋" w:eastAsia="仿宋" w:cstheme="minorEastAsia"/>
                <w:sz w:val="24"/>
              </w:rPr>
            </w:pPr>
            <w:r>
              <w:rPr>
                <w:rFonts w:hint="eastAsia" w:ascii="仿宋" w:hAnsi="仿宋" w:eastAsia="仿宋" w:cstheme="minorEastAsia"/>
                <w:sz w:val="24"/>
              </w:rPr>
              <w:t>5</w:t>
            </w:r>
          </w:p>
        </w:tc>
        <w:tc>
          <w:tcPr>
            <w:tcW w:w="800" w:type="dxa"/>
            <w:vAlign w:val="center"/>
          </w:tcPr>
          <w:p>
            <w:pPr>
              <w:keepNext/>
              <w:adjustRightInd w:val="0"/>
              <w:snapToGrid w:val="0"/>
              <w:spacing w:afterLines="25" w:line="300" w:lineRule="exact"/>
              <w:jc w:val="center"/>
              <w:rPr>
                <w:rFonts w:ascii="仿宋" w:hAnsi="仿宋" w:eastAsia="仿宋" w:cstheme="minorEastAsia"/>
                <w:sz w:val="24"/>
              </w:rPr>
            </w:pPr>
            <w:r>
              <w:rPr>
                <w:rFonts w:hint="eastAsia" w:ascii="仿宋" w:hAnsi="仿宋" w:eastAsia="仿宋" w:cstheme="minorEastAsia"/>
                <w:sz w:val="24"/>
              </w:rPr>
              <w:t>工作保障（2分）</w:t>
            </w:r>
          </w:p>
        </w:tc>
        <w:tc>
          <w:tcPr>
            <w:tcW w:w="5370" w:type="dxa"/>
          </w:tcPr>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【有领导机制，有专项经费】</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·成立由市领导牵头的示范创建工作组织领导机制，得1分。</w:t>
            </w:r>
          </w:p>
          <w:p>
            <w:pPr>
              <w:keepNext/>
              <w:adjustRightInd w:val="0"/>
              <w:snapToGrid w:val="0"/>
              <w:spacing w:line="300" w:lineRule="exact"/>
              <w:jc w:val="left"/>
              <w:rPr>
                <w:rFonts w:ascii="仿宋" w:hAnsi="仿宋" w:eastAsia="仿宋" w:cstheme="minorEastAsia"/>
                <w:sz w:val="24"/>
              </w:rPr>
            </w:pPr>
            <w:r>
              <w:rPr>
                <w:rFonts w:hint="eastAsia" w:ascii="仿宋" w:hAnsi="仿宋" w:eastAsia="仿宋" w:cstheme="minorEastAsia"/>
                <w:sz w:val="24"/>
              </w:rPr>
              <w:t>·地方财政为社会信用体系建设提供专项经费保障的，得1分。</w:t>
            </w:r>
          </w:p>
        </w:tc>
        <w:tc>
          <w:tcPr>
            <w:tcW w:w="3210" w:type="dxa"/>
          </w:tcPr>
          <w:p>
            <w:pPr>
              <w:keepNext/>
              <w:adjustRightInd w:val="0"/>
              <w:snapToGrid w:val="0"/>
              <w:spacing w:afterLines="25" w:line="300" w:lineRule="exact"/>
              <w:jc w:val="left"/>
              <w:rPr>
                <w:rFonts w:ascii="仿宋" w:hAnsi="仿宋" w:eastAsia="仿宋" w:cstheme="minorEastAsia"/>
                <w:sz w:val="24"/>
              </w:rPr>
            </w:pPr>
          </w:p>
        </w:tc>
        <w:tc>
          <w:tcPr>
            <w:tcW w:w="1763" w:type="dxa"/>
            <w:gridSpan w:val="2"/>
          </w:tcPr>
          <w:p>
            <w:pPr>
              <w:keepNext/>
              <w:adjustRightInd w:val="0"/>
              <w:snapToGrid w:val="0"/>
              <w:spacing w:afterLines="25" w:line="300" w:lineRule="exact"/>
              <w:jc w:val="center"/>
              <w:rPr>
                <w:rFonts w:ascii="仿宋" w:hAnsi="仿宋" w:eastAsia="仿宋" w:cstheme="minorEastAsia"/>
                <w:sz w:val="24"/>
              </w:rPr>
            </w:pPr>
            <w:r>
              <w:rPr>
                <w:rFonts w:hint="eastAsia" w:ascii="仿宋" w:hAnsi="仿宋" w:eastAsia="仿宋" w:cstheme="minorEastAsia"/>
                <w:sz w:val="24"/>
              </w:rPr>
              <w:t>市发展改革委</w:t>
            </w:r>
          </w:p>
          <w:p>
            <w:pPr>
              <w:keepNext/>
              <w:adjustRightInd w:val="0"/>
              <w:snapToGrid w:val="0"/>
              <w:spacing w:afterLines="25" w:line="300" w:lineRule="exact"/>
              <w:jc w:val="center"/>
              <w:rPr>
                <w:rFonts w:ascii="仿宋" w:hAnsi="仿宋" w:eastAsia="仿宋" w:cstheme="minorEastAsia"/>
                <w:sz w:val="24"/>
              </w:rPr>
            </w:pPr>
            <w:r>
              <w:rPr>
                <w:rFonts w:hint="eastAsia" w:ascii="仿宋" w:hAnsi="仿宋" w:eastAsia="仿宋" w:cstheme="minorEastAsia"/>
                <w:sz w:val="24"/>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20" w:hRule="atLeast"/>
          <w:jc w:val="center"/>
        </w:trPr>
        <w:tc>
          <w:tcPr>
            <w:tcW w:w="2599" w:type="dxa"/>
            <w:gridSpan w:val="2"/>
            <w:vMerge w:val="continue"/>
          </w:tcPr>
          <w:p>
            <w:pPr>
              <w:keepNext/>
              <w:tabs>
                <w:tab w:val="left" w:pos="1313"/>
                <w:tab w:val="left" w:pos="4493"/>
              </w:tabs>
              <w:adjustRightInd w:val="0"/>
              <w:snapToGrid w:val="0"/>
              <w:spacing w:afterLines="25" w:line="300" w:lineRule="exact"/>
              <w:jc w:val="left"/>
              <w:rPr>
                <w:rFonts w:ascii="黑体" w:hAnsi="黑体" w:eastAsia="黑体" w:cstheme="minorEastAsia"/>
                <w:sz w:val="24"/>
              </w:rPr>
            </w:pPr>
          </w:p>
        </w:tc>
        <w:tc>
          <w:tcPr>
            <w:tcW w:w="454" w:type="dxa"/>
            <w:vMerge w:val="continue"/>
          </w:tcPr>
          <w:p>
            <w:pPr>
              <w:keepNext/>
              <w:adjustRightInd w:val="0"/>
              <w:snapToGrid w:val="0"/>
              <w:spacing w:afterLines="25" w:line="300" w:lineRule="exact"/>
              <w:jc w:val="left"/>
              <w:rPr>
                <w:rFonts w:ascii="仿宋" w:hAnsi="仿宋" w:eastAsia="仿宋" w:cstheme="minorEastAsia"/>
                <w:sz w:val="24"/>
              </w:rPr>
            </w:pPr>
          </w:p>
        </w:tc>
        <w:tc>
          <w:tcPr>
            <w:tcW w:w="800" w:type="dxa"/>
            <w:vAlign w:val="center"/>
          </w:tcPr>
          <w:p>
            <w:pPr>
              <w:keepNext/>
              <w:adjustRightInd w:val="0"/>
              <w:snapToGrid w:val="0"/>
              <w:spacing w:afterLines="25" w:line="300" w:lineRule="exact"/>
              <w:jc w:val="center"/>
              <w:rPr>
                <w:rFonts w:ascii="仿宋" w:hAnsi="仿宋" w:eastAsia="仿宋" w:cstheme="minorEastAsia"/>
                <w:color w:val="000000"/>
                <w:sz w:val="24"/>
              </w:rPr>
            </w:pPr>
            <w:r>
              <w:rPr>
                <w:rFonts w:hint="eastAsia" w:ascii="仿宋" w:hAnsi="仿宋" w:eastAsia="仿宋" w:cstheme="minorEastAsia"/>
                <w:color w:val="000000"/>
                <w:sz w:val="24"/>
              </w:rPr>
              <w:t>推进落实（3分）</w:t>
            </w:r>
          </w:p>
        </w:tc>
        <w:tc>
          <w:tcPr>
            <w:tcW w:w="5370" w:type="dxa"/>
          </w:tcPr>
          <w:p>
            <w:pPr>
              <w:keepNext/>
              <w:adjustRightInd w:val="0"/>
              <w:snapToGrid w:val="0"/>
              <w:spacing w:line="300" w:lineRule="exact"/>
              <w:jc w:val="left"/>
              <w:rPr>
                <w:rFonts w:ascii="仿宋" w:hAnsi="仿宋" w:eastAsia="仿宋" w:cstheme="minorEastAsia"/>
                <w:color w:val="000000"/>
                <w:sz w:val="24"/>
              </w:rPr>
            </w:pPr>
            <w:r>
              <w:rPr>
                <w:rFonts w:hint="eastAsia" w:ascii="仿宋" w:hAnsi="仿宋" w:eastAsia="仿宋" w:cstheme="minorEastAsia"/>
                <w:color w:val="000000"/>
                <w:sz w:val="24"/>
              </w:rPr>
              <w:t>【有任务分工，有督查考核，有试点示范】</w:t>
            </w:r>
          </w:p>
          <w:p>
            <w:pPr>
              <w:keepNext/>
              <w:adjustRightInd w:val="0"/>
              <w:snapToGrid w:val="0"/>
              <w:spacing w:line="300" w:lineRule="exact"/>
              <w:jc w:val="left"/>
              <w:rPr>
                <w:rFonts w:ascii="仿宋" w:hAnsi="仿宋" w:eastAsia="仿宋" w:cstheme="minorEastAsia"/>
                <w:color w:val="000000"/>
                <w:sz w:val="24"/>
              </w:rPr>
            </w:pPr>
            <w:r>
              <w:rPr>
                <w:rFonts w:hint="eastAsia" w:ascii="仿宋" w:hAnsi="仿宋" w:eastAsia="仿宋" w:cstheme="minorEastAsia"/>
                <w:color w:val="000000"/>
                <w:sz w:val="24"/>
              </w:rPr>
              <w:t>·制定详细的示范创建工作任务分工，明确责任单位和进度要求的；得1分。</w:t>
            </w:r>
          </w:p>
          <w:p>
            <w:pPr>
              <w:keepNext/>
              <w:adjustRightInd w:val="0"/>
              <w:snapToGrid w:val="0"/>
              <w:spacing w:line="300" w:lineRule="exact"/>
              <w:jc w:val="left"/>
              <w:rPr>
                <w:rFonts w:ascii="仿宋" w:hAnsi="仿宋" w:eastAsia="仿宋" w:cstheme="minorEastAsia"/>
                <w:color w:val="000000"/>
                <w:sz w:val="24"/>
              </w:rPr>
            </w:pPr>
            <w:r>
              <w:rPr>
                <w:rFonts w:hint="eastAsia" w:ascii="仿宋" w:hAnsi="仿宋" w:eastAsia="仿宋" w:cstheme="minorEastAsia"/>
                <w:color w:val="000000"/>
                <w:sz w:val="24"/>
              </w:rPr>
              <w:t>·对辖区内各部门社会信用体系建设工作进行督查考核的，得1分。</w:t>
            </w:r>
          </w:p>
          <w:p>
            <w:pPr>
              <w:keepNext/>
              <w:adjustRightInd w:val="0"/>
              <w:snapToGrid w:val="0"/>
              <w:spacing w:line="300" w:lineRule="exact"/>
              <w:jc w:val="left"/>
              <w:rPr>
                <w:rFonts w:ascii="仿宋" w:hAnsi="仿宋" w:eastAsia="仿宋" w:cstheme="minorEastAsia"/>
                <w:color w:val="000000"/>
                <w:sz w:val="24"/>
              </w:rPr>
            </w:pPr>
            <w:r>
              <w:rPr>
                <w:rFonts w:hint="eastAsia" w:ascii="仿宋" w:hAnsi="仿宋" w:eastAsia="仿宋" w:cstheme="minorEastAsia"/>
                <w:color w:val="000000"/>
                <w:sz w:val="24"/>
              </w:rPr>
              <w:t>·在辖区内组织开展社会信用体系建设试点示范的，得1分。</w:t>
            </w:r>
          </w:p>
        </w:tc>
        <w:tc>
          <w:tcPr>
            <w:tcW w:w="3210" w:type="dxa"/>
          </w:tcPr>
          <w:p>
            <w:pPr>
              <w:keepNext/>
              <w:adjustRightInd w:val="0"/>
              <w:snapToGrid w:val="0"/>
              <w:spacing w:line="300" w:lineRule="exact"/>
              <w:jc w:val="left"/>
              <w:rPr>
                <w:rFonts w:ascii="仿宋" w:hAnsi="仿宋" w:eastAsia="仿宋" w:cstheme="minorEastAsia"/>
                <w:color w:val="000000"/>
                <w:sz w:val="24"/>
              </w:rPr>
            </w:pPr>
            <w:r>
              <w:rPr>
                <w:rFonts w:hint="eastAsia" w:ascii="仿宋" w:hAnsi="仿宋" w:eastAsia="仿宋" w:cstheme="minorEastAsia"/>
                <w:color w:val="000000"/>
                <w:sz w:val="24"/>
              </w:rPr>
              <w:t>（1）有详细的示范创建工作任务分工的，得0.5分；明确责任单位的，得0.3分；有进度要求的，得0.2分。</w:t>
            </w:r>
          </w:p>
          <w:p>
            <w:pPr>
              <w:keepNext/>
              <w:adjustRightInd w:val="0"/>
              <w:snapToGrid w:val="0"/>
              <w:spacing w:line="300" w:lineRule="exact"/>
              <w:jc w:val="left"/>
              <w:rPr>
                <w:rFonts w:ascii="仿宋" w:hAnsi="仿宋" w:eastAsia="仿宋" w:cstheme="minorEastAsia"/>
                <w:color w:val="000000"/>
                <w:sz w:val="24"/>
              </w:rPr>
            </w:pPr>
            <w:r>
              <w:rPr>
                <w:rFonts w:hint="eastAsia" w:ascii="仿宋" w:hAnsi="仿宋" w:eastAsia="仿宋" w:cstheme="minorEastAsia"/>
                <w:color w:val="000000"/>
                <w:sz w:val="24"/>
              </w:rPr>
              <w:t>（2）对辖区内各部门社会信用体系建设工作进行督查考核，有考核通知文件的，得0.5分；有考核结果文件的，得0.5分。</w:t>
            </w:r>
          </w:p>
        </w:tc>
        <w:tc>
          <w:tcPr>
            <w:tcW w:w="1763" w:type="dxa"/>
            <w:gridSpan w:val="2"/>
          </w:tcPr>
          <w:p>
            <w:pPr>
              <w:keepNext/>
              <w:adjustRightInd w:val="0"/>
              <w:snapToGrid w:val="0"/>
              <w:spacing w:line="300" w:lineRule="exact"/>
              <w:jc w:val="center"/>
              <w:rPr>
                <w:rFonts w:ascii="仿宋" w:hAnsi="仿宋" w:eastAsia="仿宋" w:cstheme="minorEastAsia"/>
                <w:sz w:val="24"/>
              </w:rPr>
            </w:pPr>
            <w:r>
              <w:rPr>
                <w:rFonts w:hint="eastAsia" w:ascii="仿宋" w:hAnsi="仿宋" w:eastAsia="仿宋" w:cstheme="minorEastAsia"/>
                <w:sz w:val="24"/>
              </w:rPr>
              <w:t>市发展改革委</w:t>
            </w:r>
          </w:p>
          <w:p>
            <w:pPr>
              <w:keepNext/>
              <w:adjustRightInd w:val="0"/>
              <w:snapToGrid w:val="0"/>
              <w:spacing w:line="300" w:lineRule="exact"/>
              <w:jc w:val="center"/>
              <w:rPr>
                <w:rFonts w:ascii="仿宋" w:hAnsi="仿宋" w:eastAsia="仿宋" w:cstheme="minorEastAsia"/>
                <w:color w:val="000000"/>
                <w:sz w:val="24"/>
              </w:rPr>
            </w:pPr>
            <w:r>
              <w:rPr>
                <w:rFonts w:hint="eastAsia" w:ascii="仿宋" w:hAnsi="仿宋" w:eastAsia="仿宋" w:cs="宋体"/>
                <w:color w:val="000000"/>
                <w:kern w:val="0"/>
                <w:sz w:val="24"/>
              </w:rPr>
              <w:t>各县区政府（管委会）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99" w:type="dxa"/>
            <w:gridSpan w:val="2"/>
            <w:vAlign w:val="center"/>
          </w:tcPr>
          <w:p>
            <w:pPr>
              <w:keepNext/>
              <w:adjustRightInd w:val="0"/>
              <w:snapToGrid w:val="0"/>
              <w:spacing w:afterLines="25" w:line="300" w:lineRule="exact"/>
              <w:jc w:val="center"/>
              <w:rPr>
                <w:rFonts w:ascii="黑体" w:hAnsi="黑体" w:eastAsia="黑体" w:cstheme="minorEastAsia"/>
                <w:sz w:val="24"/>
              </w:rPr>
            </w:pPr>
            <w:r>
              <w:rPr>
                <w:rFonts w:hint="eastAsia" w:ascii="黑体" w:hAnsi="黑体" w:eastAsia="黑体" w:cstheme="minorEastAsia"/>
                <w:sz w:val="24"/>
              </w:rPr>
              <w:t>附加项：探索创新和</w:t>
            </w:r>
          </w:p>
          <w:p>
            <w:pPr>
              <w:keepNext/>
              <w:adjustRightInd w:val="0"/>
              <w:snapToGrid w:val="0"/>
              <w:spacing w:afterLines="25" w:line="300" w:lineRule="exact"/>
              <w:jc w:val="center"/>
              <w:rPr>
                <w:rFonts w:ascii="黑体" w:hAnsi="黑体" w:eastAsia="黑体" w:cstheme="minorEastAsia"/>
                <w:sz w:val="24"/>
              </w:rPr>
            </w:pPr>
            <w:r>
              <w:rPr>
                <w:rFonts w:hint="eastAsia" w:ascii="黑体" w:hAnsi="黑体" w:eastAsia="黑体" w:cstheme="minorEastAsia"/>
                <w:sz w:val="24"/>
              </w:rPr>
              <w:t>突出贡献</w:t>
            </w:r>
          </w:p>
        </w:tc>
        <w:tc>
          <w:tcPr>
            <w:tcW w:w="454" w:type="dxa"/>
            <w:vAlign w:val="center"/>
          </w:tcPr>
          <w:p>
            <w:pPr>
              <w:keepNext/>
              <w:adjustRightInd w:val="0"/>
              <w:snapToGrid w:val="0"/>
              <w:spacing w:afterLines="25" w:line="300" w:lineRule="exact"/>
              <w:rPr>
                <w:rFonts w:ascii="仿宋" w:hAnsi="仿宋" w:eastAsia="仿宋" w:cstheme="minorEastAsia"/>
                <w:sz w:val="24"/>
              </w:rPr>
            </w:pPr>
            <w:r>
              <w:rPr>
                <w:rFonts w:hint="eastAsia" w:ascii="仿宋" w:hAnsi="仿宋" w:eastAsia="仿宋" w:cstheme="minorEastAsia"/>
                <w:szCs w:val="21"/>
              </w:rPr>
              <w:t>10</w:t>
            </w:r>
            <w:r>
              <w:rPr>
                <w:rFonts w:hint="eastAsia" w:ascii="仿宋" w:hAnsi="仿宋" w:eastAsia="仿宋" w:cstheme="minorEastAsia"/>
                <w:sz w:val="24"/>
              </w:rPr>
              <w:t>分</w:t>
            </w:r>
          </w:p>
        </w:tc>
        <w:tc>
          <w:tcPr>
            <w:tcW w:w="9380" w:type="dxa"/>
            <w:gridSpan w:val="3"/>
          </w:tcPr>
          <w:p>
            <w:pPr>
              <w:keepNext/>
              <w:adjustRightInd w:val="0"/>
              <w:snapToGrid w:val="0"/>
              <w:spacing w:afterLines="25" w:line="300" w:lineRule="exact"/>
              <w:jc w:val="left"/>
              <w:rPr>
                <w:rFonts w:ascii="仿宋" w:hAnsi="仿宋" w:eastAsia="仿宋" w:cstheme="minorEastAsia"/>
                <w:sz w:val="24"/>
              </w:rPr>
            </w:pPr>
            <w:r>
              <w:rPr>
                <w:rFonts w:hint="eastAsia" w:ascii="仿宋" w:hAnsi="仿宋" w:eastAsia="仿宋" w:cstheme="minorEastAsia"/>
                <w:color w:val="000000"/>
                <w:sz w:val="24"/>
              </w:rPr>
              <w:t>示范创建城市结合实际，在社会信用体系建设中创新探索，成效明显，在创新信用监管和信用便民惠企方面形成地方特色和可推广复制经验的，建立失信案例调查制度和失信记录归集制度的，酌情加分，最高加10分。</w:t>
            </w:r>
          </w:p>
        </w:tc>
        <w:tc>
          <w:tcPr>
            <w:tcW w:w="1763" w:type="dxa"/>
            <w:gridSpan w:val="2"/>
          </w:tcPr>
          <w:p>
            <w:pPr>
              <w:keepNext/>
              <w:adjustRightInd w:val="0"/>
              <w:snapToGrid w:val="0"/>
              <w:spacing w:afterLines="25" w:line="300" w:lineRule="exact"/>
              <w:jc w:val="center"/>
              <w:rPr>
                <w:rFonts w:ascii="仿宋" w:hAnsi="仿宋" w:eastAsia="仿宋" w:cstheme="minorEastAsia"/>
                <w:sz w:val="24"/>
              </w:rPr>
            </w:pPr>
            <w:r>
              <w:rPr>
                <w:rFonts w:hint="eastAsia" w:ascii="仿宋" w:hAnsi="仿宋" w:eastAsia="仿宋" w:cstheme="minorEastAsia"/>
                <w:sz w:val="24"/>
              </w:rPr>
              <w:t>市政府各部门，</w:t>
            </w:r>
            <w:r>
              <w:rPr>
                <w:rFonts w:hint="eastAsia" w:ascii="仿宋" w:hAnsi="仿宋" w:eastAsia="仿宋" w:cs="宋体"/>
                <w:color w:val="000000"/>
                <w:kern w:val="0"/>
                <w:sz w:val="24"/>
              </w:rPr>
              <w:t>各县区政府（管委会）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3053" w:type="dxa"/>
            <w:gridSpan w:val="3"/>
          </w:tcPr>
          <w:p>
            <w:pPr>
              <w:keepNext/>
              <w:adjustRightInd w:val="0"/>
              <w:snapToGrid w:val="0"/>
              <w:spacing w:afterLines="25" w:line="300" w:lineRule="exact"/>
              <w:jc w:val="left"/>
              <w:rPr>
                <w:rFonts w:ascii="黑体" w:hAnsi="黑体" w:eastAsia="黑体" w:cstheme="minorEastAsia"/>
                <w:color w:val="000000"/>
                <w:sz w:val="24"/>
              </w:rPr>
            </w:pPr>
            <w:r>
              <w:rPr>
                <w:rFonts w:hint="eastAsia" w:ascii="黑体" w:hAnsi="黑体" w:eastAsia="黑体" w:cstheme="minorEastAsia"/>
                <w:sz w:val="24"/>
              </w:rPr>
              <w:t>总分</w:t>
            </w:r>
          </w:p>
        </w:tc>
        <w:tc>
          <w:tcPr>
            <w:tcW w:w="9380" w:type="dxa"/>
            <w:gridSpan w:val="3"/>
          </w:tcPr>
          <w:p>
            <w:pPr>
              <w:keepNext/>
              <w:adjustRightInd w:val="0"/>
              <w:snapToGrid w:val="0"/>
              <w:spacing w:afterLines="25" w:line="300" w:lineRule="exact"/>
              <w:jc w:val="left"/>
              <w:rPr>
                <w:rFonts w:ascii="仿宋" w:hAnsi="仿宋" w:eastAsia="仿宋" w:cstheme="minorEastAsia"/>
                <w:sz w:val="24"/>
              </w:rPr>
            </w:pPr>
          </w:p>
        </w:tc>
        <w:tc>
          <w:tcPr>
            <w:tcW w:w="1763" w:type="dxa"/>
            <w:gridSpan w:val="2"/>
          </w:tcPr>
          <w:p>
            <w:pPr>
              <w:keepNext/>
              <w:adjustRightInd w:val="0"/>
              <w:snapToGrid w:val="0"/>
              <w:spacing w:afterLines="25" w:line="300" w:lineRule="exact"/>
              <w:jc w:val="left"/>
              <w:rPr>
                <w:rFonts w:ascii="仿宋" w:hAnsi="仿宋" w:eastAsia="仿宋" w:cstheme="minorEastAsia"/>
                <w:sz w:val="24"/>
              </w:rPr>
            </w:pPr>
          </w:p>
        </w:tc>
      </w:tr>
    </w:tbl>
    <w:p>
      <w:pPr>
        <w:pStyle w:val="8"/>
        <w:keepNext/>
        <w:adjustRightInd w:val="0"/>
        <w:spacing w:line="200" w:lineRule="exact"/>
        <w:jc w:val="left"/>
        <w:rPr>
          <w:rFonts w:asciiTheme="minorEastAsia" w:hAnsiTheme="minorEastAsia" w:eastAsiaTheme="minorEastAsia" w:cstheme="minorEastAsia"/>
          <w:sz w:val="30"/>
          <w:szCs w:val="30"/>
        </w:rPr>
      </w:pPr>
    </w:p>
    <w:p>
      <w:pPr>
        <w:pStyle w:val="2"/>
        <w:keepNext/>
        <w:adjustRightInd w:val="0"/>
        <w:rPr>
          <w:rFonts w:asciiTheme="minorEastAsia" w:hAnsiTheme="minorEastAsia" w:cstheme="minorEastAsia"/>
          <w:szCs w:val="18"/>
        </w:rPr>
        <w:sectPr>
          <w:pgSz w:w="16838" w:h="11906" w:orient="landscape"/>
          <w:pgMar w:top="1440" w:right="1080" w:bottom="1440" w:left="1080" w:header="851" w:footer="992" w:gutter="0"/>
          <w:cols w:space="425" w:num="1"/>
          <w:docGrid w:type="lines" w:linePitch="312" w:charSpace="0"/>
        </w:sectPr>
      </w:pPr>
      <w:r>
        <w:rPr>
          <w:rFonts w:hint="eastAsia" w:asciiTheme="minorEastAsia" w:hAnsiTheme="minorEastAsia" w:cstheme="minorEastAsia"/>
          <w:szCs w:val="18"/>
        </w:rPr>
        <w:t>【党中央、国务院和国家社会信用体系建设牵头部门关于社会信用体系建设系列重要文件*】主要包括《国务院关于印发社会信用体系建设规划纲要（2014—2020年）的通知》（国发〔2014〕21号），《法人和其他组织统一社会信用代码制度建设总体方案》（国发〔2015〕33号），《国务院办公厅关于运用大数据加强对市场主体服务和监管的若干意见》(国办发〔2015〕51号)，《国家发展改革委 人民银行 中央编办关于在行政管理事项中使用信用记录和信用报告的若干意见的通知》（发改财金〔2013〕920号），《国务院关于建立完善守信联合激励和失信联合惩戒制度加快推进社会诚信建设的指导意见》(国发〔2016〕33号)，《关于加快推进失信被执行人信用监督、警示和惩戒机制建设的意见》（中办发〔2016〕64号），《国务院关于加强政务诚信建设的指导意见》（国发〔2016〕76号），《国务院办公厅关于加强个人诚信建设的指导意见》（国办发〔2016〕98号），《关于全面加强电子商务领域诚信建设的指导意见》（发改财金〔2016〕2794号），《国家发展改革委 人民银行关于加强和规范守信联合激励和失信联合惩戒对象名单管理工作的意见》（发改财金规〔2017〕1798号），《国家发展改革委办公厅 人民银行办公厅关于对失信主体加强信用监管的通知》（发改办财金〔2018〕893号），以及实名登记制度有关规定。</w:t>
      </w:r>
    </w:p>
    <w:p>
      <w:pPr>
        <w:keepNext/>
        <w:adjustRightInd w:val="0"/>
        <w:snapToGrid w:val="0"/>
        <w:jc w:val="left"/>
        <w:rPr>
          <w:rFonts w:ascii="仿宋_GB2312" w:hAnsi="仿宋_GB2312" w:eastAsia="仿宋_GB2312" w:cs="仿宋_GB2312"/>
          <w:sz w:val="32"/>
          <w:szCs w:val="32"/>
        </w:rPr>
      </w:pPr>
    </w:p>
    <w:sectPr>
      <w:pgSz w:w="11906" w:h="16838"/>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0000000000000000000"/>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rPr>
    </w:pPr>
    <w:r>
      <w:rPr>
        <w:sz w:val="24"/>
      </w:rPr>
      <w:fldChar w:fldCharType="begin"/>
    </w:r>
    <w:r>
      <w:rPr>
        <w:sz w:val="24"/>
      </w:rPr>
      <w:instrText xml:space="preserve"> PAGE   \* MERGEFORMAT </w:instrText>
    </w:r>
    <w:r>
      <w:rPr>
        <w:sz w:val="24"/>
      </w:rPr>
      <w:fldChar w:fldCharType="separate"/>
    </w:r>
    <w:r>
      <w:rPr>
        <w:sz w:val="24"/>
        <w:lang w:val="zh-CN"/>
      </w:rPr>
      <w:t>4</w:t>
    </w:r>
    <w:r>
      <w:rPr>
        <w:sz w:val="2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ECC"/>
    <w:multiLevelType w:val="singleLevel"/>
    <w:tmpl w:val="02D72ECC"/>
    <w:lvl w:ilvl="0" w:tentative="0">
      <w:start w:val="1"/>
      <w:numFmt w:val="decimal"/>
      <w:suff w:val="nothing"/>
      <w:lvlText w:val="%1."/>
      <w:lvlJc w:val="left"/>
      <w:rPr>
        <w:rFonts w:cs="Times New Roman"/>
      </w:rPr>
    </w:lvl>
  </w:abstractNum>
  <w:abstractNum w:abstractNumId="1">
    <w:nsid w:val="64B23D46"/>
    <w:multiLevelType w:val="singleLevel"/>
    <w:tmpl w:val="64B23D4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linkStyl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25"/>
    <w:rsid w:val="0008706A"/>
    <w:rsid w:val="001E1871"/>
    <w:rsid w:val="0026385C"/>
    <w:rsid w:val="00282CA1"/>
    <w:rsid w:val="0029200C"/>
    <w:rsid w:val="0036597B"/>
    <w:rsid w:val="00371879"/>
    <w:rsid w:val="00397B83"/>
    <w:rsid w:val="003A196F"/>
    <w:rsid w:val="00417049"/>
    <w:rsid w:val="005C7723"/>
    <w:rsid w:val="005E69DE"/>
    <w:rsid w:val="005E6F25"/>
    <w:rsid w:val="00637EF7"/>
    <w:rsid w:val="006C74F3"/>
    <w:rsid w:val="00707062"/>
    <w:rsid w:val="00986E11"/>
    <w:rsid w:val="009F1656"/>
    <w:rsid w:val="00A07CC7"/>
    <w:rsid w:val="00A63A12"/>
    <w:rsid w:val="00B40A5A"/>
    <w:rsid w:val="00B642D0"/>
    <w:rsid w:val="00B913F6"/>
    <w:rsid w:val="00BD1879"/>
    <w:rsid w:val="00CC4AB5"/>
    <w:rsid w:val="00D331CE"/>
    <w:rsid w:val="00D761EB"/>
    <w:rsid w:val="00E42D39"/>
    <w:rsid w:val="00EC28D4"/>
    <w:rsid w:val="0445007F"/>
    <w:rsid w:val="07F70B09"/>
    <w:rsid w:val="093E12F1"/>
    <w:rsid w:val="0FF33551"/>
    <w:rsid w:val="1500702A"/>
    <w:rsid w:val="150A794E"/>
    <w:rsid w:val="1A6419C3"/>
    <w:rsid w:val="1B0F36A3"/>
    <w:rsid w:val="2850686A"/>
    <w:rsid w:val="311E33A5"/>
    <w:rsid w:val="323773B2"/>
    <w:rsid w:val="37985E5A"/>
    <w:rsid w:val="37D63629"/>
    <w:rsid w:val="37E72876"/>
    <w:rsid w:val="41BC53BF"/>
    <w:rsid w:val="456C51A5"/>
    <w:rsid w:val="49A035D0"/>
    <w:rsid w:val="4B5C51FC"/>
    <w:rsid w:val="59092BB6"/>
    <w:rsid w:val="616857B6"/>
    <w:rsid w:val="619E7701"/>
    <w:rsid w:val="651E46FB"/>
    <w:rsid w:val="6E9261C0"/>
    <w:rsid w:val="71021691"/>
    <w:rsid w:val="722F5144"/>
    <w:rsid w:val="7828184F"/>
    <w:rsid w:val="7FCA1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rPr>
  </w:style>
  <w:style w:type="paragraph" w:styleId="3">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5">
    <w:name w:val="page number"/>
    <w:basedOn w:val="4"/>
    <w:qFormat/>
    <w:uiPriority w:val="0"/>
  </w:style>
  <w:style w:type="character" w:customStyle="1" w:styleId="7">
    <w:name w:val="font31"/>
    <w:basedOn w:val="4"/>
    <w:qFormat/>
    <w:uiPriority w:val="0"/>
    <w:rPr>
      <w:rFonts w:hint="eastAsia" w:ascii="华文中宋" w:hAnsi="华文中宋" w:eastAsia="华文中宋" w:cs="华文中宋"/>
      <w:color w:val="000000"/>
      <w:sz w:val="32"/>
      <w:szCs w:val="32"/>
      <w:u w:val="none"/>
    </w:rPr>
  </w:style>
  <w:style w:type="paragraph" w:customStyle="1" w:styleId="8">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kern w:val="0"/>
      <w:sz w:val="44"/>
    </w:rPr>
  </w:style>
  <w:style w:type="paragraph" w:styleId="9">
    <w:name w:val="No Spacing"/>
    <w:link w:val="10"/>
    <w:qFormat/>
    <w:uiPriority w:val="1"/>
    <w:rPr>
      <w:rFonts w:asciiTheme="minorHAnsi" w:hAnsiTheme="minorHAnsi" w:eastAsiaTheme="minorEastAsia" w:cstheme="minorBidi"/>
      <w:sz w:val="22"/>
      <w:szCs w:val="22"/>
      <w:lang w:val="en-US" w:eastAsia="zh-CN" w:bidi="ar-SA"/>
    </w:rPr>
  </w:style>
  <w:style w:type="character" w:customStyle="1" w:styleId="10">
    <w:name w:val="无间隔 Char"/>
    <w:basedOn w:val="4"/>
    <w:link w:val="9"/>
    <w:qFormat/>
    <w:uiPriority w:val="1"/>
    <w:rPr>
      <w:rFonts w:asciiTheme="minorHAnsi" w:hAnsiTheme="minorHAnsi" w:eastAsiaTheme="minorEastAsia" w:cstheme="minorBidi"/>
      <w:sz w:val="22"/>
      <w:szCs w:val="22"/>
    </w:rPr>
  </w:style>
  <w:style w:type="character" w:customStyle="1" w:styleId="11">
    <w:name w:val="页眉 Char"/>
    <w:basedOn w:val="4"/>
    <w:link w:val="3"/>
    <w:qFormat/>
    <w:uiPriority w:val="99"/>
    <w:rPr>
      <w:rFonts w:eastAsiaTheme="minorEastAsia" w:cstheme="minorBidi"/>
      <w:kern w:val="2"/>
      <w:sz w:val="18"/>
      <w:szCs w:val="24"/>
    </w:rPr>
  </w:style>
  <w:style w:type="character" w:customStyle="1" w:styleId="12">
    <w:name w:val="页脚 Char"/>
    <w:basedOn w:val="4"/>
    <w:link w:val="2"/>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1821</Words>
  <Characters>10380</Characters>
  <Lines>86</Lines>
  <Paragraphs>24</Paragraphs>
  <TotalTime>171</TotalTime>
  <ScaleCrop>false</ScaleCrop>
  <LinksUpToDate>false</LinksUpToDate>
  <CharactersWithSpaces>12177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2019-05-15T01:07:54Z</cp:lastPrinted>
  <dcterms:modified xsi:type="dcterms:W3CDTF">2019-05-15T01:09:16Z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